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5172B" w14:textId="77777777" w:rsidR="003D0F54" w:rsidRPr="00745FB6" w:rsidRDefault="003D2DAD" w:rsidP="722D65D0">
      <w:pPr>
        <w:pStyle w:val="05aHeadline2"/>
        <w:rPr>
          <w:lang w:val="en-US"/>
        </w:rPr>
      </w:pPr>
      <w:r w:rsidRPr="722D65D0">
        <w:rPr>
          <w:lang w:val="en-US"/>
        </w:rPr>
        <w:t>Press Release</w:t>
      </w:r>
    </w:p>
    <w:p w14:paraId="2046B3A6" w14:textId="14A71145" w:rsidR="003D2DAD" w:rsidRPr="003D2DAD" w:rsidRDefault="003D2DAD" w:rsidP="003D2DAD">
      <w:pPr>
        <w:pStyle w:val="03BodyText"/>
      </w:pPr>
      <w:r>
        <w:t xml:space="preserve">Salzburg/Austria, </w:t>
      </w:r>
      <w:r w:rsidR="4A1A181A">
        <w:t xml:space="preserve">September </w:t>
      </w:r>
      <w:r w:rsidR="00826FFA">
        <w:t>2</w:t>
      </w:r>
      <w:r w:rsidR="4A1A181A">
        <w:t>,</w:t>
      </w:r>
      <w:r>
        <w:t xml:space="preserve"> 202</w:t>
      </w:r>
      <w:r w:rsidR="00335FCB">
        <w:t>6</w:t>
      </w:r>
    </w:p>
    <w:p w14:paraId="5366B7C7" w14:textId="4D3700A4" w:rsidR="003D2DAD" w:rsidRPr="00BA4161" w:rsidRDefault="00335FCB" w:rsidP="003D2DAD">
      <w:pPr>
        <w:pStyle w:val="01Title"/>
        <w:rPr>
          <w:sz w:val="36"/>
          <w:szCs w:val="36"/>
        </w:rPr>
      </w:pPr>
      <w:r w:rsidRPr="003643D9">
        <w:rPr>
          <w:sz w:val="36"/>
          <w:szCs w:val="36"/>
        </w:rPr>
        <w:t>Growing wind portfolios, rising complexity: COPA-DATA to showcase Unified Wind Farm SCADA at WindEnergy Hamburg 2026</w:t>
      </w:r>
    </w:p>
    <w:p w14:paraId="2D8D7F4D" w14:textId="7A2019D4" w:rsidR="00A17351" w:rsidRDefault="002D1522" w:rsidP="003643D9">
      <w:pPr>
        <w:pStyle w:val="Intro"/>
        <w:rPr>
          <w:sz w:val="20"/>
          <w:szCs w:val="20"/>
        </w:rPr>
      </w:pPr>
      <w:r w:rsidRPr="002D1522">
        <w:rPr>
          <w:sz w:val="20"/>
          <w:szCs w:val="20"/>
        </w:rPr>
        <w:t xml:space="preserve">At booth 350 in hall A3, visitors </w:t>
      </w:r>
      <w:r w:rsidR="00E95378" w:rsidRPr="00E95378">
        <w:rPr>
          <w:sz w:val="20"/>
          <w:szCs w:val="20"/>
        </w:rPr>
        <w:t>will experience live demonstrations covering wind farm control, substation automation, battery energy storage and centralized monitoring and control across wind portfolios.</w:t>
      </w:r>
    </w:p>
    <w:p w14:paraId="754B8A75" w14:textId="3F57E8DA" w:rsidR="00A17351" w:rsidRPr="00A17351" w:rsidRDefault="40AA9DA3" w:rsidP="00A17351">
      <w:pPr>
        <w:pStyle w:val="TOC"/>
      </w:pPr>
      <w:r>
        <w:t>More wind energy does not simply mean more turbines. As portfolios expand, assets diversify and margins tighten, operat</w:t>
      </w:r>
      <w:r w:rsidR="209BA452">
        <w:t>ional complexity increases, along with the pressure to maintain availability, efficiency and security.</w:t>
      </w:r>
    </w:p>
    <w:p w14:paraId="6E0B99B2" w14:textId="1D498EA2" w:rsidR="00A17351" w:rsidRPr="00A17351" w:rsidRDefault="40AA9DA3" w:rsidP="00A17351">
      <w:pPr>
        <w:pStyle w:val="TOC"/>
      </w:pPr>
      <w:r>
        <w:t>Europe faces the parallel task of expanding and modernizing its wind energy infrastructure. According to WindEurope, 151 GW of new wind power capacity is expected to be installed across Europe between 2026 and 2030</w:t>
      </w:r>
      <w:r w:rsidR="00A17351" w:rsidRPr="7DFC5847">
        <w:rPr>
          <w:rStyle w:val="Funotenzeichen"/>
        </w:rPr>
        <w:footnoteReference w:id="1"/>
      </w:r>
      <w:r>
        <w:t xml:space="preserve">. At the same time, aging wind farms are reaching the end of their original support and service periods. </w:t>
      </w:r>
      <w:r w:rsidR="5324ED21">
        <w:t xml:space="preserve">The challenge is therefore twofold: </w:t>
      </w:r>
      <w:r w:rsidR="7511BBBD" w:rsidRPr="7DFC5847">
        <w:t>adding new capacity while keeping existing assets productive through continued operation, retrofit or repowering.</w:t>
      </w:r>
    </w:p>
    <w:p w14:paraId="127D6CCD" w14:textId="37017874" w:rsidR="00A17351" w:rsidRPr="00A17351" w:rsidRDefault="00A17351" w:rsidP="00A17351">
      <w:pPr>
        <w:pStyle w:val="TOC"/>
      </w:pPr>
      <w:r>
        <w:t xml:space="preserve">Against this backdrop, </w:t>
      </w:r>
      <w:r w:rsidRPr="00E95378">
        <w:rPr>
          <w:b/>
          <w:bCs w:val="0"/>
        </w:rPr>
        <w:t>COPA-DATA</w:t>
      </w:r>
      <w:r>
        <w:t xml:space="preserve"> will present Unified Wind Farm SCADA at </w:t>
      </w:r>
      <w:r>
        <w:rPr>
          <w:b/>
        </w:rPr>
        <w:t>WindEnergy Hamburg 2026</w:t>
      </w:r>
      <w:r>
        <w:t xml:space="preserve">, taking place September 22–25. Built on the integrated </w:t>
      </w:r>
      <w:proofErr w:type="spellStart"/>
      <w:r>
        <w:t>zenon</w:t>
      </w:r>
      <w:proofErr w:type="spellEnd"/>
      <w:r>
        <w:t xml:space="preserve"> software platform, the vendor-independent solution provides centralized monitoring, control, alarm management, historization and reporting across turbines, substations, battery storage and balance-of-plant systems</w:t>
      </w:r>
      <w:r w:rsidR="00E95378">
        <w:t xml:space="preserve">, </w:t>
      </w:r>
      <w:r>
        <w:t>from individual wind farms to entire portfolios.</w:t>
      </w:r>
    </w:p>
    <w:p w14:paraId="27ED742E" w14:textId="0019DBAC" w:rsidR="00A17351" w:rsidRPr="00A17351" w:rsidRDefault="0D7E814E" w:rsidP="00A17351">
      <w:pPr>
        <w:pStyle w:val="TOC"/>
      </w:pPr>
      <w:r w:rsidRPr="00BA4161">
        <w:rPr>
          <w:rStyle w:val="04Headline1Char"/>
          <w:lang w:val="en-US"/>
        </w:rPr>
        <w:t>From fragmented systems to unified operations</w:t>
      </w:r>
      <w:r w:rsidR="00C87938">
        <w:br/>
      </w:r>
      <w:r>
        <w:t xml:space="preserve">Wind farm operators manage turbines, substations, storage and auxiliary assets from multiple manufacturers and technology generations. Separate HMIs, data structures and </w:t>
      </w:r>
      <w:r>
        <w:lastRenderedPageBreak/>
        <w:t>communication methods fragment operational data and alarms, slowing diagnostics and increasing training and support requirements. Retrofit and repowering projects add further integration pressure, while offshore conditions, growing OT security requirements and scarce specialist expertise make failures harder and more costly to address.</w:t>
      </w:r>
    </w:p>
    <w:p w14:paraId="5EB5C60F" w14:textId="77777777" w:rsidR="00A17351" w:rsidRPr="00A17351" w:rsidRDefault="00A17351" w:rsidP="00A17351">
      <w:pPr>
        <w:pStyle w:val="TOC"/>
      </w:pPr>
      <w:r w:rsidRPr="00A17351">
        <w:t>Replacing established system landscapes in their entirety is neither necessary nor economically viable for every project. Unified Wind Farm SCADA consolidates turbines, substations, storage and balance-of-plant systems in a single operational platform while allowing existing assets to remain in use. New components can be integrated step by step without tying the operator to a single manufacturer’s ecosystem.</w:t>
      </w:r>
    </w:p>
    <w:p w14:paraId="46F2739F" w14:textId="75832EFD" w:rsidR="00022FC2" w:rsidRPr="00A17351" w:rsidRDefault="00A17351" w:rsidP="00A17351">
      <w:pPr>
        <w:pStyle w:val="TOC"/>
      </w:pPr>
      <w:r>
        <w:t xml:space="preserve">zenon provides the software foundation for this approach. Its hardware-agnostic, vendor-independent architecture </w:t>
      </w:r>
      <w:r w:rsidR="4A89B340">
        <w:t>provides</w:t>
      </w:r>
      <w:r>
        <w:t xml:space="preserve"> operators and engineering teams a consistent basis for managing heterogeneous wind farms while retaining control over future hardware and technology choices.</w:t>
      </w:r>
      <w:r>
        <w:br/>
      </w:r>
      <w:r>
        <w:br/>
      </w:r>
      <w:r w:rsidR="00C87938" w:rsidRPr="7DFC5847">
        <w:rPr>
          <w:rFonts w:cs="Segoe UI Light"/>
          <w:i/>
          <w:iCs/>
        </w:rPr>
        <w:t>“</w:t>
      </w:r>
      <w:r w:rsidR="00436D23" w:rsidRPr="7DFC5847">
        <w:rPr>
          <w:rFonts w:eastAsiaTheme="majorEastAsia" w:cs="Segoe UI Light"/>
          <w:i/>
          <w:iCs/>
        </w:rPr>
        <w:t xml:space="preserve">For operators, the key is to retain the ability to develop their wind farms without entering into a new vendor dependency. An open software foundation protects existing investments and preserves freedom of choice for future technology decisions. This independence is not only technically important; it is also a significant factor in long-term competitiveness,” </w:t>
      </w:r>
      <w:r w:rsidR="00C87938" w:rsidRPr="7DFC5847">
        <w:rPr>
          <w:rFonts w:cs="Segoe UI Light"/>
        </w:rPr>
        <w:t xml:space="preserve">says </w:t>
      </w:r>
      <w:r w:rsidR="00C87938" w:rsidRPr="7DFC5847">
        <w:rPr>
          <w:rFonts w:cs="Segoe UI Light"/>
          <w:b/>
        </w:rPr>
        <w:t xml:space="preserve">Stefan Hufnagl, </w:t>
      </w:r>
      <w:r w:rsidR="74281584" w:rsidRPr="7DFC5847">
        <w:rPr>
          <w:rFonts w:cs="Segoe UI Light"/>
          <w:b/>
        </w:rPr>
        <w:t xml:space="preserve">Industry Specialist </w:t>
      </w:r>
      <w:r w:rsidR="00C87938" w:rsidRPr="7DFC5847">
        <w:rPr>
          <w:rFonts w:cs="Segoe UI Light"/>
          <w:b/>
        </w:rPr>
        <w:t>Management Energy, COPA-DATA Headquarters.</w:t>
      </w:r>
    </w:p>
    <w:p w14:paraId="0F4FBFFB" w14:textId="7BCEF2A1" w:rsidR="003D2DAD" w:rsidRPr="00BA4161" w:rsidRDefault="00335FCB" w:rsidP="722D65D0">
      <w:pPr>
        <w:pStyle w:val="04Headline1"/>
        <w:numPr>
          <w:ilvl w:val="0"/>
          <w:numId w:val="0"/>
        </w:numPr>
        <w:rPr>
          <w:lang w:val="en-US"/>
        </w:rPr>
      </w:pPr>
      <w:r w:rsidRPr="00BA4161">
        <w:rPr>
          <w:lang w:val="en-US"/>
        </w:rPr>
        <w:t>Experience Unified Wind Farm SCADA live</w:t>
      </w:r>
    </w:p>
    <w:p w14:paraId="7E95E851" w14:textId="490314D1" w:rsidR="00A17351" w:rsidRPr="00C87938" w:rsidRDefault="00A17351" w:rsidP="00C87938">
      <w:pPr>
        <w:pStyle w:val="03BodyText"/>
      </w:pPr>
      <w:r w:rsidRPr="00A17351">
        <w:t>At the COPA-DATA booth, visitors will be able to follow the operational chain from individual turbines and substations through wind farm control to centralized portfolio control. The demonstrations show how real-time values, alarms and historical information from different assets and locations can be accessed through a consistent HMI.</w:t>
      </w:r>
    </w:p>
    <w:p w14:paraId="24C288A6" w14:textId="19FA0DC9" w:rsidR="003808DD" w:rsidRPr="00E06311" w:rsidRDefault="00A17351" w:rsidP="00E06311">
      <w:pPr>
        <w:pStyle w:val="01Title"/>
        <w:rPr>
          <w:sz w:val="24"/>
          <w:szCs w:val="24"/>
        </w:rPr>
      </w:pPr>
      <w:r>
        <w:rPr>
          <w:sz w:val="24"/>
          <w:szCs w:val="24"/>
        </w:rPr>
        <w:t>Conversations and L</w:t>
      </w:r>
      <w:r w:rsidR="003808DD" w:rsidRPr="00E06311">
        <w:rPr>
          <w:sz w:val="24"/>
          <w:szCs w:val="24"/>
        </w:rPr>
        <w:t xml:space="preserve">ive demonstrations will </w:t>
      </w:r>
      <w:r>
        <w:rPr>
          <w:sz w:val="24"/>
          <w:szCs w:val="24"/>
        </w:rPr>
        <w:t>focus on:</w:t>
      </w:r>
    </w:p>
    <w:p w14:paraId="3F641661" w14:textId="0D99AA83" w:rsidR="003808DD" w:rsidRDefault="7EE895C6" w:rsidP="003643D9">
      <w:pPr>
        <w:pStyle w:val="08BulletsLevel1"/>
        <w:rPr>
          <w:lang w:val="en-US"/>
        </w:rPr>
      </w:pPr>
      <w:r w:rsidRPr="008C194B">
        <w:rPr>
          <w:b/>
          <w:bCs/>
          <w:lang w:val="en-US"/>
        </w:rPr>
        <w:t>Unified Wind Farm SCADA</w:t>
      </w:r>
      <w:r w:rsidR="0C97AD6C" w:rsidRPr="008C194B">
        <w:rPr>
          <w:b/>
          <w:bCs/>
          <w:lang w:val="en-US"/>
        </w:rPr>
        <w:t>:</w:t>
      </w:r>
      <w:r w:rsidR="0C97AD6C" w:rsidRPr="722F62B9">
        <w:rPr>
          <w:lang w:val="en-US"/>
        </w:rPr>
        <w:t xml:space="preserve"> Centralized monitoring, control and reporting across entire onshore and offshore wind portfolios, independent of asset manufacturer</w:t>
      </w:r>
    </w:p>
    <w:p w14:paraId="4529A917" w14:textId="4871A1F3" w:rsidR="003643D9" w:rsidRDefault="003643D9" w:rsidP="003643D9">
      <w:pPr>
        <w:pStyle w:val="08BulletsLevel1"/>
        <w:rPr>
          <w:lang w:val="en-US"/>
        </w:rPr>
      </w:pPr>
      <w:r w:rsidRPr="008C194B">
        <w:rPr>
          <w:b/>
          <w:bCs/>
          <w:lang w:val="en-US"/>
        </w:rPr>
        <w:t>Vendor-independent integration:</w:t>
      </w:r>
      <w:r w:rsidRPr="003643D9">
        <w:rPr>
          <w:lang w:val="en-US"/>
        </w:rPr>
        <w:t xml:space="preserve"> Native support for OPC UA, IEC 61400-25, IEC 61850, DNP3 and IEC 60870 to connect turbines, substations and auxiliary systems</w:t>
      </w:r>
    </w:p>
    <w:p w14:paraId="46FC6EF4" w14:textId="75667229" w:rsidR="003643D9" w:rsidRDefault="003643D9" w:rsidP="003643D9">
      <w:pPr>
        <w:pStyle w:val="08BulletsLevel1"/>
        <w:rPr>
          <w:lang w:val="en-US"/>
        </w:rPr>
      </w:pPr>
      <w:r w:rsidRPr="008C194B">
        <w:rPr>
          <w:b/>
          <w:bCs/>
          <w:lang w:val="en-US"/>
        </w:rPr>
        <w:lastRenderedPageBreak/>
        <w:t>Integrated substation automation:</w:t>
      </w:r>
      <w:r w:rsidRPr="003643D9">
        <w:rPr>
          <w:lang w:val="en-US"/>
        </w:rPr>
        <w:t xml:space="preserve"> SCADA and HMI for wind farm substations, combined with turbine monitoring and balance-of-plant data</w:t>
      </w:r>
    </w:p>
    <w:p w14:paraId="4297E185" w14:textId="3A218AA5" w:rsidR="003643D9" w:rsidRDefault="003643D9" w:rsidP="003643D9">
      <w:pPr>
        <w:pStyle w:val="08BulletsLevel1"/>
        <w:rPr>
          <w:lang w:val="en-US"/>
        </w:rPr>
      </w:pPr>
      <w:r w:rsidRPr="008C194B">
        <w:rPr>
          <w:b/>
          <w:bCs/>
          <w:lang w:val="en-US"/>
        </w:rPr>
        <w:t>Operational efficiency:</w:t>
      </w:r>
      <w:r w:rsidRPr="003643D9">
        <w:rPr>
          <w:lang w:val="en-US"/>
        </w:rPr>
        <w:t xml:space="preserve"> Centralized alarm management, real-time monitoring and historization to support faster fault analysis and proactive operations and maintenance</w:t>
      </w:r>
    </w:p>
    <w:p w14:paraId="694501F6" w14:textId="0BD8D13B" w:rsidR="00C87938" w:rsidRPr="00A17351" w:rsidRDefault="003643D9" w:rsidP="00A17351">
      <w:pPr>
        <w:pStyle w:val="08BulletsLevel1"/>
        <w:rPr>
          <w:lang w:val="en-US"/>
        </w:rPr>
      </w:pPr>
      <w:r w:rsidRPr="008C194B">
        <w:rPr>
          <w:b/>
          <w:bCs/>
          <w:lang w:val="en-US"/>
        </w:rPr>
        <w:t>Efficient engineering:</w:t>
      </w:r>
      <w:r w:rsidRPr="003643D9">
        <w:rPr>
          <w:lang w:val="en-US"/>
        </w:rPr>
        <w:t xml:space="preserve"> Reusable templates, libraries and standardized project structures designed to reduce configuration effort, support faster commissioning and scale across large fleets</w:t>
      </w:r>
      <w:r w:rsidR="00A17351">
        <w:rPr>
          <w:lang w:val="en-US"/>
        </w:rPr>
        <w:br/>
      </w:r>
    </w:p>
    <w:p w14:paraId="374FAEDF" w14:textId="37989244" w:rsidR="00C87938" w:rsidRPr="00436D23" w:rsidRDefault="00436D23" w:rsidP="00436D23">
      <w:pPr>
        <w:pStyle w:val="08BulletsLevel1"/>
        <w:numPr>
          <w:ilvl w:val="0"/>
          <w:numId w:val="0"/>
        </w:numPr>
        <w:ind w:left="491"/>
        <w:rPr>
          <w:bCs/>
          <w:i/>
          <w:iCs/>
          <w:lang w:val="en-US"/>
        </w:rPr>
      </w:pPr>
      <w:r w:rsidRPr="00436D23">
        <w:rPr>
          <w:bCs/>
          <w:i/>
          <w:iCs/>
          <w:lang w:val="en-US"/>
        </w:rPr>
        <w:t xml:space="preserve">“Today, operations and maintenance teams often spend valuable time piecing together information from separate vendor systems,” says </w:t>
      </w:r>
      <w:r w:rsidRPr="00436D23">
        <w:rPr>
          <w:b/>
          <w:bCs/>
          <w:i/>
          <w:iCs/>
          <w:lang w:val="en-US"/>
        </w:rPr>
        <w:t>Jürgen Resch, Director Industry Management Energy, COPA-DATA Headquarters.</w:t>
      </w:r>
      <w:r w:rsidRPr="00436D23">
        <w:rPr>
          <w:bCs/>
          <w:i/>
          <w:iCs/>
          <w:lang w:val="en-US"/>
        </w:rPr>
        <w:t xml:space="preserve"> “Unified Wind Farm SCADA with </w:t>
      </w:r>
      <w:proofErr w:type="spellStart"/>
      <w:r w:rsidRPr="00436D23">
        <w:rPr>
          <w:bCs/>
          <w:i/>
          <w:iCs/>
          <w:lang w:val="en-US"/>
        </w:rPr>
        <w:t>zenon</w:t>
      </w:r>
      <w:proofErr w:type="spellEnd"/>
      <w:r w:rsidRPr="00436D23">
        <w:rPr>
          <w:bCs/>
          <w:i/>
          <w:iCs/>
          <w:lang w:val="en-US"/>
        </w:rPr>
        <w:t xml:space="preserve"> brings live values, alarms and historical data from turbines, substations, storage and auxiliary systems into one operational context. This enables teams to correlate alarms across system boundaries, identify the causes of faults faster and reduce manual effort and the risk of errors. Reusable engineering structures also make it easier to standardize solutions and scale them across entire wind portfolios. The result is less time spent navigating systems</w:t>
      </w:r>
      <w:r>
        <w:rPr>
          <w:bCs/>
          <w:i/>
          <w:iCs/>
          <w:lang w:val="en-US"/>
        </w:rPr>
        <w:t xml:space="preserve">, </w:t>
      </w:r>
      <w:r w:rsidRPr="00436D23">
        <w:rPr>
          <w:bCs/>
          <w:i/>
          <w:iCs/>
          <w:lang w:val="en-US"/>
        </w:rPr>
        <w:t>and more time spent improving operations.”</w:t>
      </w:r>
    </w:p>
    <w:p w14:paraId="21418789" w14:textId="44E5AAB2" w:rsidR="003643D9" w:rsidRPr="00BA4161" w:rsidRDefault="003643D9" w:rsidP="722D65D0">
      <w:pPr>
        <w:pStyle w:val="04Headline1"/>
        <w:numPr>
          <w:ilvl w:val="0"/>
          <w:numId w:val="0"/>
        </w:numPr>
        <w:rPr>
          <w:lang w:val="en-US"/>
        </w:rPr>
      </w:pPr>
      <w:r w:rsidRPr="00BA4161">
        <w:rPr>
          <w:lang w:val="en-US"/>
        </w:rPr>
        <w:t>Explore the Energy Landscape 2026</w:t>
      </w:r>
    </w:p>
    <w:p w14:paraId="69F95754" w14:textId="01CCCCCD" w:rsidR="003643D9" w:rsidRPr="003643D9" w:rsidRDefault="00436D23" w:rsidP="002D1522">
      <w:pPr>
        <w:pStyle w:val="TOC"/>
      </w:pPr>
      <w:r w:rsidRPr="00436D23">
        <w:t>Unified Wind Farm SCADA forms the central wind energy story within COPA-DATA’s wider Energy Landscape 2026.</w:t>
      </w:r>
    </w:p>
    <w:p w14:paraId="32030A11" w14:textId="77777777" w:rsidR="002D1522" w:rsidRPr="00BA4161" w:rsidRDefault="002D1522" w:rsidP="002D1522">
      <w:pPr>
        <w:pStyle w:val="04Headline1"/>
        <w:numPr>
          <w:ilvl w:val="0"/>
          <w:numId w:val="0"/>
        </w:numPr>
        <w:ind w:left="357" w:hanging="357"/>
        <w:rPr>
          <w:sz w:val="22"/>
          <w:szCs w:val="22"/>
          <w:lang w:val="en-US"/>
        </w:rPr>
      </w:pPr>
      <w:r w:rsidRPr="00BA4161">
        <w:rPr>
          <w:sz w:val="22"/>
          <w:szCs w:val="22"/>
          <w:lang w:val="en-US"/>
        </w:rPr>
        <w:t>Further live demonstrations will cover:</w:t>
      </w:r>
    </w:p>
    <w:p w14:paraId="39A5F79B" w14:textId="1483C3F4" w:rsidR="002D1522" w:rsidRPr="002D1522" w:rsidRDefault="002D1522" w:rsidP="7DFC5847">
      <w:pPr>
        <w:pStyle w:val="08BulletsLevel1"/>
        <w:rPr>
          <w:b/>
          <w:bCs/>
          <w:lang w:val="en-US"/>
        </w:rPr>
      </w:pPr>
      <w:r w:rsidRPr="7DFC5847">
        <w:rPr>
          <w:b/>
          <w:bCs/>
          <w:lang w:val="en-US"/>
        </w:rPr>
        <w:t>Wind energy:</w:t>
      </w:r>
      <w:r w:rsidRPr="7DFC5847">
        <w:rPr>
          <w:lang w:val="en-US"/>
        </w:rPr>
        <w:t xml:space="preserve"> </w:t>
      </w:r>
      <w:r w:rsidR="175769D4" w:rsidRPr="008C194B">
        <w:rPr>
          <w:lang w:val="en-US"/>
        </w:rPr>
        <w:t>Unified Wind Farm SCADA, Turbine Monitoring and Wind Park Control</w:t>
      </w:r>
      <w:r w:rsidR="7BF7BC83" w:rsidRPr="008C194B">
        <w:rPr>
          <w:lang w:val="en-US"/>
        </w:rPr>
        <w:t>, Offshore Platform Management</w:t>
      </w:r>
    </w:p>
    <w:p w14:paraId="2F18CF73" w14:textId="14D59717" w:rsidR="002D1522" w:rsidRPr="002D1522" w:rsidRDefault="002D1522" w:rsidP="7DFC5847">
      <w:pPr>
        <w:pStyle w:val="08BulletsLevel1"/>
        <w:rPr>
          <w:b/>
          <w:bCs/>
          <w:lang w:val="en-US"/>
        </w:rPr>
      </w:pPr>
      <w:r w:rsidRPr="7DFC5847">
        <w:rPr>
          <w:b/>
          <w:bCs/>
          <w:lang w:val="en-US"/>
        </w:rPr>
        <w:t xml:space="preserve">Substation and </w:t>
      </w:r>
      <w:r w:rsidRPr="008C194B">
        <w:rPr>
          <w:b/>
          <w:bCs/>
          <w:lang w:val="en-US"/>
        </w:rPr>
        <w:t xml:space="preserve">grid automation: </w:t>
      </w:r>
      <w:r w:rsidRPr="008C194B">
        <w:rPr>
          <w:lang w:val="en-US"/>
        </w:rPr>
        <w:t xml:space="preserve">Substation Automation, </w:t>
      </w:r>
      <w:r w:rsidR="23D4280D" w:rsidRPr="008C194B">
        <w:rPr>
          <w:lang w:val="en-US"/>
        </w:rPr>
        <w:t>Station Level Solutions: Substation HMI and Gateway, Situational Awareness and advanced Command Process</w:t>
      </w:r>
      <w:r w:rsidR="329C6674" w:rsidRPr="008C194B">
        <w:rPr>
          <w:lang w:val="en-US"/>
        </w:rPr>
        <w:t>ing, Network Control Center solutions</w:t>
      </w:r>
    </w:p>
    <w:p w14:paraId="65DB35F5" w14:textId="6DE8C73A" w:rsidR="002D1522" w:rsidRPr="002D1522" w:rsidRDefault="002D1522" w:rsidP="7DFC5847">
      <w:pPr>
        <w:pStyle w:val="08BulletsLevel1"/>
        <w:rPr>
          <w:b/>
          <w:bCs/>
          <w:lang w:val="en-US"/>
        </w:rPr>
      </w:pPr>
      <w:r w:rsidRPr="7DFC5847">
        <w:rPr>
          <w:b/>
          <w:bCs/>
          <w:lang w:val="en-US"/>
        </w:rPr>
        <w:t>Renewable generation and storage:</w:t>
      </w:r>
      <w:r w:rsidRPr="7DFC5847">
        <w:rPr>
          <w:lang w:val="en-US"/>
        </w:rPr>
        <w:t xml:space="preserve"> </w:t>
      </w:r>
      <w:r w:rsidRPr="008C194B">
        <w:rPr>
          <w:lang w:val="en-US"/>
        </w:rPr>
        <w:t xml:space="preserve">Hybrid Renewables, </w:t>
      </w:r>
      <w:r w:rsidR="77FF435C" w:rsidRPr="008C194B">
        <w:rPr>
          <w:lang w:val="en-US"/>
        </w:rPr>
        <w:t>Utility-scale Solar PV and Battery Energy Storage Systems, Grid-connection</w:t>
      </w:r>
    </w:p>
    <w:p w14:paraId="74528871" w14:textId="22F01EC8" w:rsidR="00A17351" w:rsidRPr="00A17351" w:rsidRDefault="3DEA2F66" w:rsidP="7DFC5847">
      <w:pPr>
        <w:pStyle w:val="08BulletsLevel1"/>
        <w:rPr>
          <w:b/>
          <w:bCs/>
          <w:lang w:val="en-US"/>
        </w:rPr>
      </w:pPr>
      <w:r w:rsidRPr="7DFC5847">
        <w:rPr>
          <w:b/>
          <w:bCs/>
          <w:lang w:val="en-US"/>
        </w:rPr>
        <w:t>Future proof solution architectures</w:t>
      </w:r>
      <w:r w:rsidR="002D1522" w:rsidRPr="7DFC5847">
        <w:rPr>
          <w:b/>
          <w:bCs/>
          <w:lang w:val="en-US"/>
        </w:rPr>
        <w:t>:</w:t>
      </w:r>
      <w:r w:rsidR="002D1522" w:rsidRPr="7DFC5847">
        <w:rPr>
          <w:lang w:val="en-US"/>
        </w:rPr>
        <w:t xml:space="preserve"> </w:t>
      </w:r>
      <w:r w:rsidR="575CE820" w:rsidRPr="008C194B">
        <w:rPr>
          <w:lang w:val="en-US"/>
        </w:rPr>
        <w:t>Platform agnostic deployment and virtualization, IT/OT integration,</w:t>
      </w:r>
      <w:r w:rsidR="4EAA315B" w:rsidRPr="008C194B">
        <w:rPr>
          <w:lang w:val="en-US"/>
        </w:rPr>
        <w:t xml:space="preserve"> Cyber Security</w:t>
      </w:r>
      <w:r w:rsidR="6858D18D" w:rsidRPr="008C194B">
        <w:rPr>
          <w:lang w:val="en-US"/>
        </w:rPr>
        <w:t xml:space="preserve">, </w:t>
      </w:r>
      <w:r w:rsidR="575CE820" w:rsidRPr="008C194B">
        <w:rPr>
          <w:lang w:val="en-US"/>
        </w:rPr>
        <w:t>IIoT</w:t>
      </w:r>
    </w:p>
    <w:p w14:paraId="49A2C3B7" w14:textId="77777777" w:rsidR="00A17351" w:rsidRPr="00BA4161" w:rsidRDefault="00A17351" w:rsidP="7DFC5847">
      <w:pPr>
        <w:pStyle w:val="08BulletsLevel1"/>
        <w:numPr>
          <w:ilvl w:val="0"/>
          <w:numId w:val="0"/>
        </w:numPr>
        <w:rPr>
          <w:lang w:val="en-US" w:eastAsia="de-DE"/>
        </w:rPr>
      </w:pPr>
    </w:p>
    <w:p w14:paraId="3310974C" w14:textId="00C9F05B" w:rsidR="003808DD" w:rsidRPr="00BA4161" w:rsidRDefault="003808DD" w:rsidP="00BA4161">
      <w:pPr>
        <w:pStyle w:val="04Headline1"/>
        <w:numPr>
          <w:ilvl w:val="0"/>
          <w:numId w:val="0"/>
        </w:numPr>
        <w:rPr>
          <w:lang w:val="en-US"/>
        </w:rPr>
      </w:pPr>
      <w:r w:rsidRPr="00BA4161">
        <w:rPr>
          <w:lang w:val="en-US"/>
        </w:rPr>
        <w:t>Discuss wind farm modernization with COPA-DATA experts</w:t>
      </w:r>
    </w:p>
    <w:p w14:paraId="60F5E59D" w14:textId="51359EA6" w:rsidR="00A17351" w:rsidRPr="00A17351" w:rsidRDefault="00A17351" w:rsidP="00A17351">
      <w:pPr>
        <w:pStyle w:val="TOC"/>
        <w:rPr>
          <w:lang w:eastAsia="de-DE"/>
        </w:rPr>
      </w:pPr>
      <w:r w:rsidRPr="00A17351">
        <w:rPr>
          <w:lang w:eastAsia="de-DE"/>
        </w:rPr>
        <w:t>Throughout WindEnergy Hamburg 2026, COPA-DATA’s energy automation specialists will be available to discuss practical approaches to operating heterogeneous wind portfolios, integrating multi-vendor assets, modernizing wind farms and substations, planning retrofit and repowering projects, incorporating battery storage and hybrid energy systems, strengthening operational transparency, and standardizing engineering across sites.</w:t>
      </w:r>
    </w:p>
    <w:p w14:paraId="4D452BBB" w14:textId="62E7B96F" w:rsidR="00436D23" w:rsidRPr="00A17351" w:rsidRDefault="00A17351" w:rsidP="00436D23">
      <w:pPr>
        <w:pStyle w:val="TOC"/>
        <w:rPr>
          <w:b/>
          <w:bCs w:val="0"/>
          <w:lang w:eastAsia="de-DE"/>
        </w:rPr>
      </w:pPr>
      <w:r>
        <w:rPr>
          <w:lang w:eastAsia="de-DE"/>
        </w:rPr>
        <w:br/>
      </w:r>
      <w:r w:rsidR="00436D23" w:rsidRPr="00A17351">
        <w:rPr>
          <w:rStyle w:val="Fett"/>
        </w:rPr>
        <w:t>Visit COPA-DATA at booth 350 in hall A3 during WindEnergy Hamburg 2026, September 22-25, at Hamburg Messe.</w:t>
      </w:r>
    </w:p>
    <w:p w14:paraId="6C860246" w14:textId="5D224CF8" w:rsidR="003D2DAD" w:rsidRPr="00BA4161" w:rsidRDefault="00436D23" w:rsidP="00E06311">
      <w:pPr>
        <w:pStyle w:val="04Headline1"/>
        <w:numPr>
          <w:ilvl w:val="0"/>
          <w:numId w:val="0"/>
        </w:numPr>
        <w:rPr>
          <w:lang w:val="en-US"/>
        </w:rPr>
      </w:pPr>
      <w:r w:rsidRPr="00BA4161">
        <w:rPr>
          <w:lang w:val="en-US"/>
        </w:rPr>
        <w:br/>
      </w:r>
      <w:r w:rsidR="003D2DAD" w:rsidRPr="00BA4161">
        <w:rPr>
          <w:lang w:val="en-US"/>
        </w:rPr>
        <w:t>About COPA-DATA</w:t>
      </w:r>
    </w:p>
    <w:p w14:paraId="6C122413" w14:textId="77777777" w:rsidR="00DA5313" w:rsidRPr="00DA5313" w:rsidRDefault="00DA5313" w:rsidP="00DA5313">
      <w:pPr>
        <w:pStyle w:val="06Headline3"/>
        <w:rPr>
          <w:rFonts w:ascii="Segoe UI Light" w:eastAsiaTheme="minorHAnsi" w:hAnsi="Segoe UI Light" w:cstheme="minorBidi"/>
          <w:color w:val="000000" w:themeColor="text1"/>
          <w:sz w:val="22"/>
          <w:szCs w:val="22"/>
          <w:lang w:val="en-US"/>
        </w:rPr>
      </w:pPr>
      <w:r w:rsidRPr="00DA5313">
        <w:rPr>
          <w:rFonts w:ascii="Segoe UI Light" w:eastAsiaTheme="minorHAnsi" w:hAnsi="Segoe UI Light" w:cstheme="minorBidi"/>
          <w:color w:val="000000" w:themeColor="text1"/>
          <w:sz w:val="22"/>
          <w:szCs w:val="22"/>
          <w:lang w:val="en-US"/>
        </w:rPr>
        <w:t xml:space="preserve">COPA-DATA is an independent software manufacturer that specializes in digitalization for the manufacturing industry and energy sector. Its </w:t>
      </w:r>
      <w:hyperlink r:id="rId11" w:history="1">
        <w:proofErr w:type="spellStart"/>
        <w:r w:rsidRPr="00DA5313">
          <w:rPr>
            <w:rStyle w:val="Hyperlink"/>
            <w:rFonts w:eastAsiaTheme="minorHAnsi" w:cstheme="minorBidi"/>
            <w:sz w:val="22"/>
            <w:szCs w:val="22"/>
            <w:lang w:val="en-US"/>
          </w:rPr>
          <w:t>zenon</w:t>
        </w:r>
        <w:proofErr w:type="spellEnd"/>
        <w:r w:rsidRPr="00DA5313">
          <w:rPr>
            <w:rStyle w:val="Hyperlink"/>
            <w:rFonts w:eastAsiaTheme="minorHAnsi" w:cstheme="minorBidi"/>
            <w:sz w:val="22"/>
            <w:szCs w:val="22"/>
            <w:lang w:val="en-US"/>
          </w:rPr>
          <w:t>® software platform</w:t>
        </w:r>
      </w:hyperlink>
      <w:r w:rsidRPr="00DA5313">
        <w:rPr>
          <w:rFonts w:ascii="Segoe UI Light" w:eastAsiaTheme="minorHAnsi" w:hAnsi="Segoe UI Light" w:cstheme="minorBidi"/>
          <w:color w:val="000000" w:themeColor="text1"/>
          <w:sz w:val="22"/>
          <w:szCs w:val="22"/>
          <w:lang w:val="en-US"/>
        </w:rPr>
        <w:t xml:space="preserve"> enables users worldwide to automate, manage, monitor, integrate and optimize machines, equipment, buildings and power grids. COPA-DATA combines decades of experience in automation with the potential of digital transformation and a strong drive for sustainability-enabling solutions. In this way, the company supports its customers to achieve their objectives more easily, faster and more efficiently.</w:t>
      </w:r>
    </w:p>
    <w:p w14:paraId="0EFED56E" w14:textId="77777777" w:rsidR="00470C61" w:rsidRDefault="00470C61" w:rsidP="00745FB6">
      <w:pPr>
        <w:pStyle w:val="06Headline3"/>
        <w:rPr>
          <w:lang w:val="en-US"/>
        </w:rPr>
      </w:pPr>
      <w:r w:rsidRPr="00745FB6">
        <w:rPr>
          <w:lang w:val="en-US"/>
        </w:rPr>
        <w:t>You need more information?</w:t>
      </w:r>
    </w:p>
    <w:p w14:paraId="007CDF52" w14:textId="5C1DF3C4" w:rsidR="00E45598" w:rsidRPr="00C938B1" w:rsidRDefault="00E45598" w:rsidP="00E45598">
      <w:pPr>
        <w:pStyle w:val="06Headline3"/>
        <w:rPr>
          <w:lang w:val="en-US"/>
        </w:rPr>
      </w:pPr>
      <w:r w:rsidRPr="00C938B1">
        <w:rPr>
          <w:lang w:val="en-US"/>
        </w:rPr>
        <w:t>PR Agency</w:t>
      </w:r>
    </w:p>
    <w:p w14:paraId="0EA39D97" w14:textId="77777777" w:rsidR="00C938B1" w:rsidRDefault="00C938B1" w:rsidP="00745FB6">
      <w:pPr>
        <w:rPr>
          <w:lang w:val="de-AT"/>
        </w:rPr>
      </w:pPr>
      <w:r w:rsidRPr="00C938B1">
        <w:rPr>
          <w:lang w:val="de-AT"/>
        </w:rPr>
        <w:t>Maisberger GmbH</w:t>
      </w:r>
      <w:r w:rsidRPr="00C938B1">
        <w:rPr>
          <w:lang w:val="de-AT"/>
        </w:rPr>
        <w:br/>
        <w:t>Christine Wildgruber / Antonia Bodenschatz </w:t>
      </w:r>
      <w:r w:rsidRPr="00C938B1">
        <w:rPr>
          <w:lang w:val="de-AT"/>
        </w:rPr>
        <w:br/>
        <w:t>Claudius-Keller-</w:t>
      </w:r>
      <w:proofErr w:type="spellStart"/>
      <w:r w:rsidRPr="00C938B1">
        <w:rPr>
          <w:lang w:val="de-AT"/>
        </w:rPr>
        <w:t>Strasse</w:t>
      </w:r>
      <w:proofErr w:type="spellEnd"/>
      <w:r w:rsidRPr="00C938B1">
        <w:rPr>
          <w:lang w:val="de-AT"/>
        </w:rPr>
        <w:t xml:space="preserve"> 3c</w:t>
      </w:r>
      <w:r w:rsidRPr="00C938B1">
        <w:rPr>
          <w:lang w:val="de-AT"/>
        </w:rPr>
        <w:br/>
        <w:t>81669 Munich</w:t>
      </w:r>
      <w:r w:rsidRPr="00C938B1">
        <w:rPr>
          <w:lang w:val="de-AT"/>
        </w:rPr>
        <w:br/>
        <w:t>Germany</w:t>
      </w:r>
    </w:p>
    <w:p w14:paraId="44E60012" w14:textId="77777777" w:rsidR="00C938B1" w:rsidRPr="00105BEA" w:rsidRDefault="00C938B1" w:rsidP="00745FB6">
      <w:pPr>
        <w:rPr>
          <w:color w:val="E64415" w:themeColor="accent2"/>
          <w:u w:val="single"/>
          <w:lang w:val="it-IT"/>
        </w:rPr>
      </w:pPr>
      <w:hyperlink r:id="rId12" w:history="1">
        <w:r w:rsidRPr="00105BEA">
          <w:rPr>
            <w:rStyle w:val="Hyperlink"/>
            <w:lang w:val="it-IT"/>
          </w:rPr>
          <w:t>copadata@maisberger.com</w:t>
        </w:r>
      </w:hyperlink>
      <w:r w:rsidRPr="00105BEA">
        <w:rPr>
          <w:color w:val="E64415" w:themeColor="accent2"/>
          <w:u w:val="single"/>
          <w:lang w:val="it-IT"/>
        </w:rPr>
        <w:t xml:space="preserve"> </w:t>
      </w:r>
    </w:p>
    <w:p w14:paraId="1811DB79" w14:textId="2417ECD9" w:rsidR="00C938B1" w:rsidRPr="00105BEA" w:rsidRDefault="00C938B1" w:rsidP="00745FB6">
      <w:pPr>
        <w:rPr>
          <w:lang w:val="it-IT"/>
        </w:rPr>
      </w:pPr>
      <w:r w:rsidRPr="00105BEA">
        <w:rPr>
          <w:lang w:val="it-IT"/>
        </w:rPr>
        <w:t>Tel.: +49 89 419 599-27</w:t>
      </w:r>
    </w:p>
    <w:p w14:paraId="1A4313AF" w14:textId="77777777" w:rsidR="00C938B1" w:rsidRPr="00C938B1" w:rsidRDefault="00C938B1" w:rsidP="00C938B1">
      <w:pPr>
        <w:pStyle w:val="06Headline3"/>
        <w:rPr>
          <w:lang w:val="it-IT"/>
        </w:rPr>
      </w:pPr>
      <w:r w:rsidRPr="00C938B1">
        <w:rPr>
          <w:lang w:val="it-IT"/>
        </w:rPr>
        <w:lastRenderedPageBreak/>
        <w:t xml:space="preserve">COPA-DATA </w:t>
      </w:r>
    </w:p>
    <w:p w14:paraId="2046D07F" w14:textId="545D3D9F" w:rsidR="00470C61" w:rsidRDefault="00470C61" w:rsidP="00745FB6">
      <w:pPr>
        <w:rPr>
          <w:lang w:val="it-IT"/>
        </w:rPr>
      </w:pPr>
      <w:r w:rsidRPr="00E45598">
        <w:rPr>
          <w:lang w:val="it-IT"/>
        </w:rPr>
        <w:t xml:space="preserve">Ing. </w:t>
      </w:r>
      <w:proofErr w:type="spellStart"/>
      <w:r w:rsidRPr="00E45598">
        <w:rPr>
          <w:lang w:val="it-IT"/>
        </w:rPr>
        <w:t>Punzenberger</w:t>
      </w:r>
      <w:proofErr w:type="spellEnd"/>
      <w:r w:rsidRPr="00E45598">
        <w:rPr>
          <w:lang w:val="it-IT"/>
        </w:rPr>
        <w:t xml:space="preserve"> </w:t>
      </w:r>
      <w:r w:rsidRPr="00C938B1">
        <w:rPr>
          <w:rStyle w:val="03BodyTextZchn"/>
          <w:lang w:val="it-IT"/>
        </w:rPr>
        <w:t>COPA</w:t>
      </w:r>
      <w:r w:rsidRPr="00E45598">
        <w:rPr>
          <w:lang w:val="it-IT"/>
        </w:rPr>
        <w:t>-DATA GmbH</w:t>
      </w:r>
      <w:r w:rsidRPr="00E45598">
        <w:rPr>
          <w:lang w:val="it-IT"/>
        </w:rPr>
        <w:br/>
        <w:t>COPA-DATA Headquarters</w:t>
      </w:r>
      <w:r w:rsidRPr="00E45598">
        <w:rPr>
          <w:lang w:val="it-IT"/>
        </w:rPr>
        <w:br/>
      </w:r>
      <w:proofErr w:type="spellStart"/>
      <w:r w:rsidRPr="00E45598">
        <w:rPr>
          <w:lang w:val="it-IT"/>
        </w:rPr>
        <w:t>Karolingerstrasse</w:t>
      </w:r>
      <w:proofErr w:type="spellEnd"/>
      <w:r w:rsidRPr="00E45598">
        <w:rPr>
          <w:lang w:val="it-IT"/>
        </w:rPr>
        <w:t xml:space="preserve"> 7B</w:t>
      </w:r>
      <w:r w:rsidRPr="00E45598">
        <w:rPr>
          <w:lang w:val="it-IT"/>
        </w:rPr>
        <w:br/>
        <w:t xml:space="preserve">5020 </w:t>
      </w:r>
      <w:proofErr w:type="spellStart"/>
      <w:r w:rsidRPr="00E45598">
        <w:rPr>
          <w:lang w:val="it-IT"/>
        </w:rPr>
        <w:t>Salzburg</w:t>
      </w:r>
      <w:proofErr w:type="spellEnd"/>
      <w:r w:rsidRPr="00E45598">
        <w:rPr>
          <w:lang w:val="it-IT"/>
        </w:rPr>
        <w:br/>
        <w:t>Austria</w:t>
      </w:r>
    </w:p>
    <w:p w14:paraId="17EA31C1" w14:textId="77777777" w:rsidR="00E45598" w:rsidRPr="00E45598" w:rsidRDefault="00E45598" w:rsidP="00E45598">
      <w:pPr>
        <w:rPr>
          <w:lang w:val="it-IT"/>
        </w:rPr>
      </w:pPr>
      <w:hyperlink r:id="rId13" w:history="1">
        <w:r w:rsidRPr="002A28BA">
          <w:rPr>
            <w:rStyle w:val="Hyperlink"/>
            <w:lang w:val="it-IT"/>
          </w:rPr>
          <w:t>press@copadata.com</w:t>
        </w:r>
      </w:hyperlink>
      <w:r>
        <w:rPr>
          <w:lang w:val="it-IT"/>
        </w:rPr>
        <w:t xml:space="preserve"> </w:t>
      </w:r>
    </w:p>
    <w:p w14:paraId="57B95EF1" w14:textId="77777777" w:rsidR="00470C61" w:rsidRPr="00E45598" w:rsidRDefault="00470C61" w:rsidP="00745FB6">
      <w:pPr>
        <w:pStyle w:val="03BodyText"/>
        <w:spacing w:after="120"/>
        <w:rPr>
          <w:rFonts w:cs="Segoe UI Light"/>
          <w:color w:val="E64415" w:themeColor="accent2"/>
          <w:lang w:val="it-IT"/>
        </w:rPr>
      </w:pPr>
      <w:hyperlink r:id="rId14" w:history="1">
        <w:r w:rsidRPr="00E45598">
          <w:rPr>
            <w:rStyle w:val="Hyperlink"/>
            <w:rFonts w:cs="Segoe UI Light"/>
            <w:lang w:val="it-IT"/>
          </w:rPr>
          <w:t>www.copadata.com</w:t>
        </w:r>
      </w:hyperlink>
    </w:p>
    <w:p w14:paraId="7D7C3656" w14:textId="77777777" w:rsidR="00470C61" w:rsidRPr="003D2DAD" w:rsidRDefault="00470C61" w:rsidP="00745FB6">
      <w:pPr>
        <w:pStyle w:val="03BodyText"/>
        <w:rPr>
          <w:rFonts w:ascii="Segoe UI Semibold" w:hAnsi="Segoe UI Semibold" w:cs="Segoe UI Semibold"/>
        </w:rPr>
      </w:pPr>
      <w:r>
        <w:rPr>
          <w:rFonts w:ascii="Segoe UI Semibold" w:hAnsi="Segoe UI Semibold" w:cs="Segoe UI Semibold"/>
          <w:noProof/>
        </w:rPr>
        <w:drawing>
          <wp:inline distT="0" distB="0" distL="0" distR="0" wp14:anchorId="512E320E" wp14:editId="744321F1">
            <wp:extent cx="180000" cy="180000"/>
            <wp:effectExtent l="0" t="0" r="0" b="0"/>
            <wp:docPr id="1914035685" name="Picture 1" descr="A white letter on a grey background&#10;&#10;AI-generated content may be incorrec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44028" name="Picture 1" descr="A white letter on a grey background&#10;&#10;AI-generated content may be incorrect.">
                      <a:hlinkClick r:id="rId15"/>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Pr>
          <w:rFonts w:ascii="Segoe UI Semibold" w:hAnsi="Segoe UI Semibold" w:cs="Segoe UI Semibold"/>
        </w:rPr>
        <w:t xml:space="preserve"> </w:t>
      </w:r>
      <w:r>
        <w:rPr>
          <w:rFonts w:ascii="Segoe UI Semibold" w:hAnsi="Segoe UI Semibold" w:cs="Segoe UI Semibold"/>
          <w:noProof/>
        </w:rPr>
        <w:drawing>
          <wp:inline distT="0" distB="0" distL="0" distR="0" wp14:anchorId="4E7A191B" wp14:editId="3D21F2B5">
            <wp:extent cx="180000" cy="180000"/>
            <wp:effectExtent l="0" t="0" r="0" b="0"/>
            <wp:docPr id="1092436032" name="Picture 2" descr="A white play button with a black arrow&#10;&#10;AI-generated content may be incorrect.">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05266" name="Picture 2" descr="A white play button with a black arrow&#10;&#10;AI-generated content may be incorrect.">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Pr>
          <w:rFonts w:ascii="Segoe UI Semibold" w:hAnsi="Segoe UI Semibold" w:cs="Segoe UI Semibold"/>
        </w:rPr>
        <w:t xml:space="preserve"> </w:t>
      </w:r>
      <w:r>
        <w:rPr>
          <w:rFonts w:ascii="Segoe UI Semibold" w:hAnsi="Segoe UI Semibold" w:cs="Segoe UI Semibold"/>
          <w:noProof/>
        </w:rPr>
        <w:drawing>
          <wp:inline distT="0" distB="0" distL="0" distR="0" wp14:anchorId="5A68D1AF" wp14:editId="02410ECE">
            <wp:extent cx="180000" cy="180000"/>
            <wp:effectExtent l="0" t="0" r="0" b="0"/>
            <wp:docPr id="184061278" name="Picture 3" descr="A white circle with a letter f in it&#10;&#10;AI-generated content may be incorrec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79226" name="Picture 3" descr="A white circle with a letter f in it&#10;&#10;AI-generated content may be incorrect.">
                      <a:hlinkClick r:id="rId19"/>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Pr>
          <w:rFonts w:ascii="Segoe UI Semibold" w:hAnsi="Segoe UI Semibold" w:cs="Segoe UI Semibold"/>
        </w:rPr>
        <w:t xml:space="preserve"> </w:t>
      </w:r>
      <w:r>
        <w:rPr>
          <w:rFonts w:ascii="Segoe UI Semibold" w:hAnsi="Segoe UI Semibold" w:cs="Segoe UI Semibold"/>
          <w:noProof/>
        </w:rPr>
        <w:drawing>
          <wp:inline distT="0" distB="0" distL="0" distR="0" wp14:anchorId="14E19B5A" wp14:editId="2E118D1D">
            <wp:extent cx="180000" cy="180000"/>
            <wp:effectExtent l="0" t="0" r="0" b="0"/>
            <wp:docPr id="1756124353" name="Picture 4" descr="A white logo with a circle&#10;&#10;AI-generated content may be incorrec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408633" name="Picture 4" descr="A white logo with a circle&#10;&#10;AI-generated content may be incorrect.">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p w14:paraId="213D8BF0" w14:textId="77777777" w:rsidR="003D2DAD" w:rsidRPr="00745FB6" w:rsidRDefault="003D2DAD" w:rsidP="00745FB6">
      <w:pPr>
        <w:pStyle w:val="03BodyText"/>
        <w:rPr>
          <w:lang w:val="it-IT"/>
        </w:rPr>
      </w:pPr>
    </w:p>
    <w:sectPr w:rsidR="003D2DAD" w:rsidRPr="00745FB6" w:rsidSect="004519FE">
      <w:headerReference w:type="default" r:id="rId23"/>
      <w:footerReference w:type="default" r:id="rId24"/>
      <w:headerReference w:type="first" r:id="rId25"/>
      <w:pgSz w:w="11907" w:h="16839" w:code="9"/>
      <w:pgMar w:top="1985" w:right="1418" w:bottom="1134"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D86D5" w14:textId="77777777" w:rsidR="00753E5A" w:rsidRDefault="00753E5A" w:rsidP="004334FB">
      <w:pPr>
        <w:spacing w:after="0" w:line="240" w:lineRule="auto"/>
      </w:pPr>
      <w:r>
        <w:separator/>
      </w:r>
    </w:p>
  </w:endnote>
  <w:endnote w:type="continuationSeparator" w:id="0">
    <w:p w14:paraId="50772696" w14:textId="77777777" w:rsidR="00753E5A" w:rsidRDefault="00753E5A" w:rsidP="00433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A399" w14:textId="77777777" w:rsidR="003E78F9" w:rsidRPr="003A55B6" w:rsidRDefault="003E78F9" w:rsidP="00767A9A">
    <w:pPr>
      <w:pStyle w:val="Fuzeile"/>
      <w:jc w:val="right"/>
      <w:rPr>
        <w:rFonts w:ascii="Segoe UI Semibold" w:hAnsi="Segoe UI Semibold" w:cs="Segoe UI Semibold"/>
        <w:bCs/>
        <w:color w:val="FFFFFF" w:themeColor="background1"/>
        <w:sz w:val="28"/>
        <w:szCs w:val="28"/>
      </w:rPr>
    </w:pPr>
    <w:r w:rsidRPr="00E06B6E">
      <w:rPr>
        <w:rFonts w:ascii="Times New Roman" w:hAnsi="Times New Roman" w:cs="Times New Roman"/>
        <w:b/>
        <w:noProof/>
        <w:color w:val="FFFFFF" w:themeColor="background1"/>
        <w:sz w:val="28"/>
        <w:szCs w:val="28"/>
        <w:lang w:val="de-AT" w:eastAsia="de-AT"/>
      </w:rPr>
      <mc:AlternateContent>
        <mc:Choice Requires="wps">
          <w:drawing>
            <wp:anchor distT="0" distB="0" distL="114300" distR="114300" simplePos="0" relativeHeight="251670528" behindDoc="1" locked="0" layoutInCell="1" allowOverlap="1" wp14:anchorId="261E5569" wp14:editId="74BF587C">
              <wp:simplePos x="0" y="0"/>
              <wp:positionH relativeFrom="column">
                <wp:posOffset>5567482</wp:posOffset>
              </wp:positionH>
              <wp:positionV relativeFrom="page">
                <wp:posOffset>10091956</wp:posOffset>
              </wp:positionV>
              <wp:extent cx="269875" cy="646383"/>
              <wp:effectExtent l="0" t="0" r="0" b="1905"/>
              <wp:wrapNone/>
              <wp:docPr id="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646383"/>
                      </a:xfrm>
                      <a:prstGeom prst="rect">
                        <a:avLst/>
                      </a:prstGeom>
                      <a:solidFill>
                        <a:srgbClr val="B0B1B3"/>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146F8" id="Rectangle 23" o:spid="_x0000_s1026" style="position:absolute;margin-left:438.4pt;margin-top:794.65pt;width:21.25pt;height:50.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" fillcolor="#b0b1b3" stroked="f">
              <w10:wrap anchory="page"/>
            </v:rect>
          </w:pict>
        </mc:Fallback>
      </mc:AlternateContent>
    </w:r>
    <w:r w:rsidRPr="00E06B6E">
      <w:rPr>
        <w:rFonts w:ascii="Times New Roman" w:hAnsi="Times New Roman" w:cs="Times New Roman"/>
        <w:noProof/>
        <w:color w:val="FFFFFF" w:themeColor="background1"/>
        <w:sz w:val="28"/>
        <w:szCs w:val="28"/>
        <w:lang w:val="de-AT" w:eastAsia="de-AT"/>
      </w:rPr>
      <w:drawing>
        <wp:anchor distT="0" distB="0" distL="114300" distR="114300" simplePos="0" relativeHeight="251671552" behindDoc="0" locked="0" layoutInCell="1" allowOverlap="1" wp14:anchorId="6BB287DA" wp14:editId="3B12AB4F">
          <wp:simplePos x="0" y="0"/>
          <wp:positionH relativeFrom="page">
            <wp:align>left</wp:align>
          </wp:positionH>
          <wp:positionV relativeFrom="paragraph">
            <wp:posOffset>-1480185</wp:posOffset>
          </wp:positionV>
          <wp:extent cx="173736" cy="1399032"/>
          <wp:effectExtent l="0" t="0" r="0" b="0"/>
          <wp:wrapTight wrapText="bothSides">
            <wp:wrapPolygon edited="0">
              <wp:start x="0" y="0"/>
              <wp:lineTo x="0" y="21178"/>
              <wp:lineTo x="18989" y="21178"/>
              <wp:lineTo x="18989" y="0"/>
              <wp:lineTo x="0" y="0"/>
            </wp:wrapPolygon>
          </wp:wrapTight>
          <wp:docPr id="1428648035" name="Picture 142864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bar.jpg"/>
                  <pic:cNvPicPr/>
                </pic:nvPicPr>
                <pic:blipFill>
                  <a:blip r:embed="rId1">
                    <a:extLst>
                      <a:ext uri="{28A0092B-C50C-407E-A947-70E740481C1C}">
                        <a14:useLocalDpi xmlns:a14="http://schemas.microsoft.com/office/drawing/2010/main" val="0"/>
                      </a:ext>
                    </a:extLst>
                  </a:blip>
                  <a:stretch>
                    <a:fillRect/>
                  </a:stretch>
                </pic:blipFill>
                <pic:spPr>
                  <a:xfrm>
                    <a:off x="0" y="0"/>
                    <a:ext cx="173736" cy="1399032"/>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b/>
        <w:color w:val="FFFFFF" w:themeColor="background1"/>
        <w:sz w:val="28"/>
        <w:szCs w:val="28"/>
      </w:rPr>
      <w:t xml:space="preserve">    </w:t>
    </w:r>
    <w:r w:rsidRPr="003A55B6">
      <w:rPr>
        <w:rFonts w:ascii="Segoe UI Semibold" w:eastAsiaTheme="minorEastAsia" w:hAnsi="Segoe UI Semibold" w:cs="Segoe UI Semibold"/>
        <w:bCs/>
        <w:color w:val="FFFFFF" w:themeColor="background1"/>
        <w:sz w:val="20"/>
        <w:szCs w:val="20"/>
      </w:rPr>
      <w:fldChar w:fldCharType="begin"/>
    </w:r>
    <w:r w:rsidRPr="003A55B6">
      <w:rPr>
        <w:rFonts w:ascii="Segoe UI Semibold" w:hAnsi="Segoe UI Semibold" w:cs="Segoe UI Semibold"/>
        <w:bCs/>
        <w:color w:val="FFFFFF" w:themeColor="background1"/>
        <w:sz w:val="20"/>
        <w:szCs w:val="20"/>
      </w:rPr>
      <w:instrText>PAGE   \* MERGEFORMAT</w:instrText>
    </w:r>
    <w:r w:rsidRPr="003A55B6">
      <w:rPr>
        <w:rFonts w:ascii="Segoe UI Semibold" w:eastAsiaTheme="minorEastAsia" w:hAnsi="Segoe UI Semibold" w:cs="Segoe UI Semibold"/>
        <w:bCs/>
        <w:color w:val="FFFFFF" w:themeColor="background1"/>
        <w:sz w:val="20"/>
        <w:szCs w:val="20"/>
      </w:rPr>
      <w:fldChar w:fldCharType="separate"/>
    </w:r>
    <w:r w:rsidR="00484832" w:rsidRPr="003A55B6">
      <w:rPr>
        <w:rFonts w:ascii="Segoe UI Semibold" w:eastAsiaTheme="majorEastAsia" w:hAnsi="Segoe UI Semibold" w:cs="Segoe UI Semibold"/>
        <w:bCs/>
        <w:noProof/>
        <w:color w:val="FFFFFF" w:themeColor="background1"/>
        <w:sz w:val="20"/>
        <w:szCs w:val="20"/>
        <w:lang w:val="de-DE"/>
      </w:rPr>
      <w:t>5</w:t>
    </w:r>
    <w:r w:rsidRPr="003A55B6">
      <w:rPr>
        <w:rFonts w:ascii="Segoe UI Semibold" w:eastAsiaTheme="majorEastAsia" w:hAnsi="Segoe UI Semibold" w:cs="Segoe UI Semibold"/>
        <w:bCs/>
        <w:color w:val="FFFFFF" w:themeColor="background1"/>
        <w:sz w:val="20"/>
        <w:szCs w:val="20"/>
      </w:rPr>
      <w:fldChar w:fldCharType="end"/>
    </w:r>
  </w:p>
  <w:p w14:paraId="20CC17F9" w14:textId="77777777" w:rsidR="003E78F9" w:rsidRDefault="003E78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EC67A" w14:textId="77777777" w:rsidR="00753E5A" w:rsidRDefault="00753E5A" w:rsidP="004334FB">
      <w:pPr>
        <w:spacing w:after="0" w:line="240" w:lineRule="auto"/>
      </w:pPr>
      <w:r>
        <w:separator/>
      </w:r>
    </w:p>
  </w:footnote>
  <w:footnote w:type="continuationSeparator" w:id="0">
    <w:p w14:paraId="698ECDC0" w14:textId="77777777" w:rsidR="00753E5A" w:rsidRDefault="00753E5A" w:rsidP="004334FB">
      <w:pPr>
        <w:spacing w:after="0" w:line="240" w:lineRule="auto"/>
      </w:pPr>
      <w:r>
        <w:continuationSeparator/>
      </w:r>
    </w:p>
  </w:footnote>
  <w:footnote w:id="1">
    <w:p w14:paraId="7D8F3FCE" w14:textId="25DE82DA" w:rsidR="7DFC5847" w:rsidRDefault="7DFC5847" w:rsidP="00BA4161">
      <w:pPr>
        <w:pStyle w:val="Funotentext"/>
      </w:pPr>
      <w:r w:rsidRPr="7DFC5847">
        <w:rPr>
          <w:rStyle w:val="Funotenzeichen"/>
        </w:rPr>
        <w:footnoteRef/>
      </w:r>
      <w:r>
        <w:t xml:space="preserve"> </w:t>
      </w:r>
      <w:r>
        <w:t>https://windeurope.org/data/products/wind-energy-in-europe-2025-statistics-and-the-outlook-for-2026-2030/?utm_source=chatgpt.com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6D96" w14:textId="77777777" w:rsidR="003E78F9" w:rsidRDefault="00A27B4F" w:rsidP="004B361E">
    <w:pPr>
      <w:pStyle w:val="PageHeaderTitle"/>
      <w:tabs>
        <w:tab w:val="clear" w:pos="4703"/>
        <w:tab w:val="clear" w:pos="9406"/>
        <w:tab w:val="left" w:pos="2580"/>
      </w:tabs>
    </w:pPr>
    <w:r>
      <w:rPr>
        <w:noProof/>
      </w:rPr>
      <w:drawing>
        <wp:anchor distT="0" distB="0" distL="114300" distR="114300" simplePos="0" relativeHeight="251675648" behindDoc="0" locked="0" layoutInCell="1" allowOverlap="1" wp14:anchorId="52A8D45D" wp14:editId="31E7D68B">
          <wp:simplePos x="0" y="0"/>
          <wp:positionH relativeFrom="page">
            <wp:posOffset>5581403</wp:posOffset>
          </wp:positionH>
          <wp:positionV relativeFrom="page">
            <wp:posOffset>542015</wp:posOffset>
          </wp:positionV>
          <wp:extent cx="1440000" cy="257693"/>
          <wp:effectExtent l="0" t="0" r="0" b="9525"/>
          <wp:wrapNone/>
          <wp:docPr id="222009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95897"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0000" cy="257693"/>
                  </a:xfrm>
                  <a:prstGeom prst="rect">
                    <a:avLst/>
                  </a:prstGeom>
                  <a:noFill/>
                  <a:ln>
                    <a:noFill/>
                  </a:ln>
                </pic:spPr>
              </pic:pic>
            </a:graphicData>
          </a:graphic>
          <wp14:sizeRelH relativeFrom="page">
            <wp14:pctWidth>0</wp14:pctWidth>
          </wp14:sizeRelH>
          <wp14:sizeRelV relativeFrom="page">
            <wp14:pctHeight>0</wp14:pctHeight>
          </wp14:sizeRelV>
        </wp:anchor>
      </w:drawing>
    </w:r>
    <w:r w:rsidR="004B361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1864" w14:textId="77777777" w:rsidR="003E78F9" w:rsidRDefault="003E78F9" w:rsidP="003E78F9">
    <w:pPr>
      <w:pStyle w:val="Kopfzeile"/>
    </w:pPr>
  </w:p>
  <w:p w14:paraId="009868DB" w14:textId="77777777" w:rsidR="003E78F9" w:rsidRDefault="00000000">
    <w:pPr>
      <w:pStyle w:val="Kopfzeile"/>
    </w:pPr>
    <w:r>
      <w:rPr>
        <w:noProof/>
      </w:rPr>
      <w:object w:dxaOrig="0" w:dyaOrig="0" w14:anchorId="5642CB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27.15pt;margin-top:50.85pt;width:35.15pt;height:29.75pt;z-index:251668480;visibility:visible;mso-wrap-edited:f;mso-position-horizontal-relative:text;mso-position-vertical-relative:page" wrapcoords="-415 0 -415 21109 21600 21109 21600 0 -415 0" o:allowoverlap="f">
          <v:imagedata r:id="rId1" o:title=""/>
          <w10:wrap type="square" anchory="page"/>
        </v:shape>
        <o:OLEObject Type="Embed" ProgID="Word.Picture.8" ShapeID="_x0000_s1028" DrawAspect="Content" ObjectID="_1849874442" r:id="rId2"/>
      </w:object>
    </w:r>
    <w:r w:rsidR="003E78F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34A08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8C2085"/>
    <w:multiLevelType w:val="hybridMultilevel"/>
    <w:tmpl w:val="AFD63DF2"/>
    <w:lvl w:ilvl="0" w:tplc="D512954C">
      <w:start w:val="1"/>
      <w:numFmt w:val="bullet"/>
      <w:pStyle w:val="08BulletsLevel3"/>
      <w:lvlText w:val="-"/>
      <w:lvlJc w:val="left"/>
      <w:pPr>
        <w:ind w:left="3561" w:hanging="360"/>
      </w:pPr>
      <w:rPr>
        <w:rFonts w:ascii="Arial" w:hAnsi="Arial" w:hint="default"/>
        <w:color w:val="F15A22"/>
      </w:rPr>
    </w:lvl>
    <w:lvl w:ilvl="1" w:tplc="04090003" w:tentative="1">
      <w:start w:val="1"/>
      <w:numFmt w:val="bullet"/>
      <w:lvlText w:val="o"/>
      <w:lvlJc w:val="left"/>
      <w:pPr>
        <w:ind w:left="4281" w:hanging="360"/>
      </w:pPr>
      <w:rPr>
        <w:rFonts w:ascii="Courier New" w:hAnsi="Courier New" w:cs="Courier New" w:hint="default"/>
      </w:rPr>
    </w:lvl>
    <w:lvl w:ilvl="2" w:tplc="04090005" w:tentative="1">
      <w:start w:val="1"/>
      <w:numFmt w:val="bullet"/>
      <w:lvlText w:val=""/>
      <w:lvlJc w:val="left"/>
      <w:pPr>
        <w:ind w:left="5001" w:hanging="360"/>
      </w:pPr>
      <w:rPr>
        <w:rFonts w:ascii="Wingdings" w:hAnsi="Wingdings" w:hint="default"/>
      </w:rPr>
    </w:lvl>
    <w:lvl w:ilvl="3" w:tplc="04090001" w:tentative="1">
      <w:start w:val="1"/>
      <w:numFmt w:val="bullet"/>
      <w:lvlText w:val=""/>
      <w:lvlJc w:val="left"/>
      <w:pPr>
        <w:ind w:left="5721" w:hanging="360"/>
      </w:pPr>
      <w:rPr>
        <w:rFonts w:ascii="Symbol" w:hAnsi="Symbol" w:hint="default"/>
      </w:rPr>
    </w:lvl>
    <w:lvl w:ilvl="4" w:tplc="04090003" w:tentative="1">
      <w:start w:val="1"/>
      <w:numFmt w:val="bullet"/>
      <w:lvlText w:val="o"/>
      <w:lvlJc w:val="left"/>
      <w:pPr>
        <w:ind w:left="6441" w:hanging="360"/>
      </w:pPr>
      <w:rPr>
        <w:rFonts w:ascii="Courier New" w:hAnsi="Courier New" w:cs="Courier New" w:hint="default"/>
      </w:rPr>
    </w:lvl>
    <w:lvl w:ilvl="5" w:tplc="04090005" w:tentative="1">
      <w:start w:val="1"/>
      <w:numFmt w:val="bullet"/>
      <w:lvlText w:val=""/>
      <w:lvlJc w:val="left"/>
      <w:pPr>
        <w:ind w:left="7161" w:hanging="360"/>
      </w:pPr>
      <w:rPr>
        <w:rFonts w:ascii="Wingdings" w:hAnsi="Wingdings" w:hint="default"/>
      </w:rPr>
    </w:lvl>
    <w:lvl w:ilvl="6" w:tplc="04090001" w:tentative="1">
      <w:start w:val="1"/>
      <w:numFmt w:val="bullet"/>
      <w:lvlText w:val=""/>
      <w:lvlJc w:val="left"/>
      <w:pPr>
        <w:ind w:left="7881" w:hanging="360"/>
      </w:pPr>
      <w:rPr>
        <w:rFonts w:ascii="Symbol" w:hAnsi="Symbol" w:hint="default"/>
      </w:rPr>
    </w:lvl>
    <w:lvl w:ilvl="7" w:tplc="04090003" w:tentative="1">
      <w:start w:val="1"/>
      <w:numFmt w:val="bullet"/>
      <w:lvlText w:val="o"/>
      <w:lvlJc w:val="left"/>
      <w:pPr>
        <w:ind w:left="8601" w:hanging="360"/>
      </w:pPr>
      <w:rPr>
        <w:rFonts w:ascii="Courier New" w:hAnsi="Courier New" w:cs="Courier New" w:hint="default"/>
      </w:rPr>
    </w:lvl>
    <w:lvl w:ilvl="8" w:tplc="04090005" w:tentative="1">
      <w:start w:val="1"/>
      <w:numFmt w:val="bullet"/>
      <w:lvlText w:val=""/>
      <w:lvlJc w:val="left"/>
      <w:pPr>
        <w:ind w:left="9321" w:hanging="360"/>
      </w:pPr>
      <w:rPr>
        <w:rFonts w:ascii="Wingdings" w:hAnsi="Wingdings" w:hint="default"/>
      </w:rPr>
    </w:lvl>
  </w:abstractNum>
  <w:abstractNum w:abstractNumId="2" w15:restartNumberingAfterBreak="0">
    <w:nsid w:val="05901914"/>
    <w:multiLevelType w:val="hybridMultilevel"/>
    <w:tmpl w:val="4552AF6A"/>
    <w:lvl w:ilvl="0" w:tplc="862A9422">
      <w:start w:val="1"/>
      <w:numFmt w:val="decimal"/>
      <w:lvlText w:val="1.%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8702E96"/>
    <w:multiLevelType w:val="multilevel"/>
    <w:tmpl w:val="F9B8CA0C"/>
    <w:styleLink w:val="05bHeadlinenumbered"/>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35FE7F4A"/>
    <w:multiLevelType w:val="multilevel"/>
    <w:tmpl w:val="0696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BB22A9"/>
    <w:multiLevelType w:val="multilevel"/>
    <w:tmpl w:val="3196A2D2"/>
    <w:styleLink w:val="MultilayerListstraton"/>
    <w:lvl w:ilvl="0">
      <w:start w:val="1"/>
      <w:numFmt w:val="decimal"/>
      <w:pStyle w:val="04Headline1"/>
      <w:lvlText w:val="%1."/>
      <w:lvlJc w:val="left"/>
      <w:pPr>
        <w:ind w:left="360" w:hanging="360"/>
      </w:pPr>
      <w:rPr>
        <w:rFonts w:ascii="Segoe UI Semibold" w:hAnsi="Segoe UI Semibold" w:hint="default"/>
        <w:b w:val="0"/>
        <w:i w:val="0"/>
      </w:rPr>
    </w:lvl>
    <w:lvl w:ilvl="1">
      <w:start w:val="1"/>
      <w:numFmt w:val="decimal"/>
      <w:pStyle w:val="05bHeadline2numbered"/>
      <w:lvlText w:val="%1.%2."/>
      <w:lvlJc w:val="left"/>
      <w:pPr>
        <w:ind w:left="720" w:hanging="360"/>
      </w:pPr>
      <w:rPr>
        <w:rFonts w:hint="default"/>
      </w:rPr>
    </w:lvl>
    <w:lvl w:ilvl="2">
      <w:start w:val="1"/>
      <w:numFmt w:val="decimal"/>
      <w:pStyle w:val="06bHeadline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0A95831"/>
    <w:multiLevelType w:val="multilevel"/>
    <w:tmpl w:val="0B08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6D7CFF"/>
    <w:multiLevelType w:val="multilevel"/>
    <w:tmpl w:val="3DBA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C35F0A"/>
    <w:multiLevelType w:val="multilevel"/>
    <w:tmpl w:val="001CA4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49230E"/>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3B508FF"/>
    <w:multiLevelType w:val="hybridMultilevel"/>
    <w:tmpl w:val="ACC24112"/>
    <w:lvl w:ilvl="0" w:tplc="BB706DB0">
      <w:start w:val="1"/>
      <w:numFmt w:val="bullet"/>
      <w:pStyle w:val="08BulletsLevel1"/>
      <w:lvlText w:val="}"/>
      <w:lvlJc w:val="left"/>
      <w:pPr>
        <w:ind w:left="1398" w:hanging="360"/>
      </w:pPr>
      <w:rPr>
        <w:rFonts w:ascii="Wingdings 3" w:hAnsi="Wingdings 3" w:cs="Wingdings 3" w:hint="default"/>
        <w:bCs w:val="0"/>
        <w:iCs w:val="0"/>
        <w:color w:val="F15A22"/>
        <w:szCs w:val="20"/>
      </w:rPr>
    </w:lvl>
    <w:lvl w:ilvl="1" w:tplc="9BFEE4F2">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1" w15:restartNumberingAfterBreak="0">
    <w:nsid w:val="54B571CE"/>
    <w:multiLevelType w:val="multilevel"/>
    <w:tmpl w:val="F9B8CA0C"/>
    <w:numStyleLink w:val="05bHeadlinenumbered"/>
  </w:abstractNum>
  <w:abstractNum w:abstractNumId="12" w15:restartNumberingAfterBreak="0">
    <w:nsid w:val="5AD67F45"/>
    <w:multiLevelType w:val="hybridMultilevel"/>
    <w:tmpl w:val="A866D1EC"/>
    <w:lvl w:ilvl="0" w:tplc="B5BC5C56">
      <w:start w:val="1"/>
      <w:numFmt w:val="decimalZero"/>
      <w:lvlText w:val="%1"/>
      <w:lvlJc w:val="left"/>
      <w:pPr>
        <w:ind w:left="720" w:hanging="360"/>
      </w:pPr>
      <w:rPr>
        <w:rFonts w:ascii="Arial" w:hAnsi="Arial" w:hint="default"/>
        <w:b/>
        <w:i w:val="0"/>
        <w:color w:val="001B38" w:themeColor="accent1"/>
        <w:u w:color="001B38"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E6248D"/>
    <w:multiLevelType w:val="hybridMultilevel"/>
    <w:tmpl w:val="33269284"/>
    <w:lvl w:ilvl="0" w:tplc="0DD28F4E">
      <w:start w:val="1"/>
      <w:numFmt w:val="decimal"/>
      <w:lvlText w:val="%1."/>
      <w:lvlJc w:val="left"/>
      <w:pPr>
        <w:ind w:left="360" w:hanging="360"/>
      </w:pPr>
      <w:rPr>
        <w:rFonts w:hint="default"/>
        <w:b/>
        <w:i w:val="0"/>
        <w:color w:val="001B38" w:themeColor="accent1"/>
        <w:u w:color="001B38"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3866B7"/>
    <w:multiLevelType w:val="hybridMultilevel"/>
    <w:tmpl w:val="AF00145C"/>
    <w:lvl w:ilvl="0" w:tplc="7C08AAFE">
      <w:start w:val="1"/>
      <w:numFmt w:val="bullet"/>
      <w:pStyle w:val="08BulletsLevel2"/>
      <w:lvlText w:val=""/>
      <w:lvlJc w:val="left"/>
      <w:pPr>
        <w:ind w:left="2481" w:hanging="360"/>
      </w:pPr>
      <w:rPr>
        <w:rFonts w:ascii="Wingdings" w:hAnsi="Wingdings" w:hint="default"/>
        <w:color w:val="F15A22"/>
        <w:sz w:val="20"/>
        <w:szCs w:val="20"/>
      </w:rPr>
    </w:lvl>
    <w:lvl w:ilvl="1" w:tplc="23722902">
      <w:start w:val="1"/>
      <w:numFmt w:val="bullet"/>
      <w:lvlText w:val="o"/>
      <w:lvlJc w:val="left"/>
      <w:pPr>
        <w:ind w:left="3200" w:hanging="360"/>
      </w:pPr>
      <w:rPr>
        <w:rFonts w:ascii="Courier New" w:hAnsi="Courier New" w:cs="Courier New" w:hint="default"/>
      </w:rPr>
    </w:lvl>
    <w:lvl w:ilvl="2" w:tplc="04090005" w:tentative="1">
      <w:start w:val="1"/>
      <w:numFmt w:val="bullet"/>
      <w:lvlText w:val=""/>
      <w:lvlJc w:val="left"/>
      <w:pPr>
        <w:ind w:left="3920" w:hanging="360"/>
      </w:pPr>
      <w:rPr>
        <w:rFonts w:ascii="Wingdings" w:hAnsi="Wingdings" w:hint="default"/>
      </w:rPr>
    </w:lvl>
    <w:lvl w:ilvl="3" w:tplc="04090001" w:tentative="1">
      <w:start w:val="1"/>
      <w:numFmt w:val="bullet"/>
      <w:lvlText w:val=""/>
      <w:lvlJc w:val="left"/>
      <w:pPr>
        <w:ind w:left="4640" w:hanging="360"/>
      </w:pPr>
      <w:rPr>
        <w:rFonts w:ascii="Symbol" w:hAnsi="Symbol" w:hint="default"/>
      </w:rPr>
    </w:lvl>
    <w:lvl w:ilvl="4" w:tplc="04090003" w:tentative="1">
      <w:start w:val="1"/>
      <w:numFmt w:val="bullet"/>
      <w:lvlText w:val="o"/>
      <w:lvlJc w:val="left"/>
      <w:pPr>
        <w:ind w:left="5360" w:hanging="360"/>
      </w:pPr>
      <w:rPr>
        <w:rFonts w:ascii="Courier New" w:hAnsi="Courier New" w:cs="Courier New" w:hint="default"/>
      </w:rPr>
    </w:lvl>
    <w:lvl w:ilvl="5" w:tplc="04090005" w:tentative="1">
      <w:start w:val="1"/>
      <w:numFmt w:val="bullet"/>
      <w:lvlText w:val=""/>
      <w:lvlJc w:val="left"/>
      <w:pPr>
        <w:ind w:left="6080" w:hanging="360"/>
      </w:pPr>
      <w:rPr>
        <w:rFonts w:ascii="Wingdings" w:hAnsi="Wingdings" w:hint="default"/>
      </w:rPr>
    </w:lvl>
    <w:lvl w:ilvl="6" w:tplc="04090001" w:tentative="1">
      <w:start w:val="1"/>
      <w:numFmt w:val="bullet"/>
      <w:lvlText w:val=""/>
      <w:lvlJc w:val="left"/>
      <w:pPr>
        <w:ind w:left="6800" w:hanging="360"/>
      </w:pPr>
      <w:rPr>
        <w:rFonts w:ascii="Symbol" w:hAnsi="Symbol" w:hint="default"/>
      </w:rPr>
    </w:lvl>
    <w:lvl w:ilvl="7" w:tplc="04090003" w:tentative="1">
      <w:start w:val="1"/>
      <w:numFmt w:val="bullet"/>
      <w:lvlText w:val="o"/>
      <w:lvlJc w:val="left"/>
      <w:pPr>
        <w:ind w:left="7520" w:hanging="360"/>
      </w:pPr>
      <w:rPr>
        <w:rFonts w:ascii="Courier New" w:hAnsi="Courier New" w:cs="Courier New" w:hint="default"/>
      </w:rPr>
    </w:lvl>
    <w:lvl w:ilvl="8" w:tplc="04090005" w:tentative="1">
      <w:start w:val="1"/>
      <w:numFmt w:val="bullet"/>
      <w:lvlText w:val=""/>
      <w:lvlJc w:val="left"/>
      <w:pPr>
        <w:ind w:left="8240" w:hanging="360"/>
      </w:pPr>
      <w:rPr>
        <w:rFonts w:ascii="Wingdings" w:hAnsi="Wingdings" w:hint="default"/>
      </w:rPr>
    </w:lvl>
  </w:abstractNum>
  <w:abstractNum w:abstractNumId="15" w15:restartNumberingAfterBreak="0">
    <w:nsid w:val="70E255CA"/>
    <w:multiLevelType w:val="multilevel"/>
    <w:tmpl w:val="FBF4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7818E2"/>
    <w:multiLevelType w:val="multilevel"/>
    <w:tmpl w:val="822AFB3A"/>
    <w:styleLink w:val="Style1"/>
    <w:lvl w:ilvl="0">
      <w:start w:val="1"/>
      <w:numFmt w:val="decimal"/>
      <w:lvlText w:val="%1."/>
      <w:lvlJc w:val="left"/>
      <w:pPr>
        <w:ind w:left="360" w:hanging="360"/>
      </w:pPr>
      <w:rPr>
        <w:rFonts w:hint="default"/>
        <w:b/>
        <w:i w:val="0"/>
        <w:color w:val="001B38" w:themeColor="accent1"/>
        <w:u w:color="001B38" w:themeColor="accent1"/>
      </w:rPr>
    </w:lvl>
    <w:lvl w:ilvl="1">
      <w:start w:val="1"/>
      <w:numFmt w:val="decimal"/>
      <w:pStyle w:val="05bHeadlinenumbered-"/>
      <w:lvlText w:val="%1.%2."/>
      <w:lvlJc w:val="left"/>
      <w:pPr>
        <w:ind w:left="1353"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39E40FC"/>
    <w:multiLevelType w:val="hybridMultilevel"/>
    <w:tmpl w:val="118EBC4A"/>
    <w:lvl w:ilvl="0" w:tplc="058875BA">
      <w:start w:val="1"/>
      <w:numFmt w:val="decimal"/>
      <w:pStyle w:val="07NumbersLevel1"/>
      <w:lvlText w:val="%1."/>
      <w:lvlJc w:val="left"/>
      <w:pPr>
        <w:ind w:left="720" w:hanging="360"/>
      </w:pPr>
    </w:lvl>
    <w:lvl w:ilvl="1" w:tplc="0B32F678">
      <w:start w:val="1"/>
      <w:numFmt w:val="lowerLetter"/>
      <w:pStyle w:val="07NumbersLevel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2B5E85"/>
    <w:multiLevelType w:val="multilevel"/>
    <w:tmpl w:val="C108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2C3630"/>
    <w:multiLevelType w:val="hybridMultilevel"/>
    <w:tmpl w:val="0F883F2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263566261">
    <w:abstractNumId w:val="12"/>
  </w:num>
  <w:num w:numId="2" w16cid:durableId="914584778">
    <w:abstractNumId w:val="13"/>
  </w:num>
  <w:num w:numId="3" w16cid:durableId="255557424">
    <w:abstractNumId w:val="0"/>
  </w:num>
  <w:num w:numId="4" w16cid:durableId="1083533400">
    <w:abstractNumId w:val="17"/>
  </w:num>
  <w:num w:numId="5" w16cid:durableId="1949195957">
    <w:abstractNumId w:val="10"/>
  </w:num>
  <w:num w:numId="6" w16cid:durableId="1839611706">
    <w:abstractNumId w:val="14"/>
  </w:num>
  <w:num w:numId="7" w16cid:durableId="1959558498">
    <w:abstractNumId w:val="1"/>
  </w:num>
  <w:num w:numId="8" w16cid:durableId="2001887894">
    <w:abstractNumId w:val="8"/>
  </w:num>
  <w:num w:numId="9" w16cid:durableId="2078243024">
    <w:abstractNumId w:val="3"/>
  </w:num>
  <w:num w:numId="10" w16cid:durableId="91364193">
    <w:abstractNumId w:val="11"/>
  </w:num>
  <w:num w:numId="11" w16cid:durableId="599264864">
    <w:abstractNumId w:val="2"/>
  </w:num>
  <w:num w:numId="12" w16cid:durableId="1809131594">
    <w:abstractNumId w:val="16"/>
  </w:num>
  <w:num w:numId="13" w16cid:durableId="10668055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3744422">
    <w:abstractNumId w:val="9"/>
  </w:num>
  <w:num w:numId="15" w16cid:durableId="1026293949">
    <w:abstractNumId w:val="19"/>
  </w:num>
  <w:num w:numId="16" w16cid:durableId="1000234576">
    <w:abstractNumId w:val="5"/>
  </w:num>
  <w:num w:numId="17" w16cid:durableId="332414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1501467">
    <w:abstractNumId w:val="10"/>
  </w:num>
  <w:num w:numId="19" w16cid:durableId="1441101938">
    <w:abstractNumId w:val="4"/>
  </w:num>
  <w:num w:numId="20" w16cid:durableId="1714882929">
    <w:abstractNumId w:val="7"/>
  </w:num>
  <w:num w:numId="21" w16cid:durableId="464471132">
    <w:abstractNumId w:val="18"/>
  </w:num>
  <w:num w:numId="22" w16cid:durableId="1606960613">
    <w:abstractNumId w:val="15"/>
  </w:num>
  <w:num w:numId="23" w16cid:durableId="16088062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sv-SE" w:vendorID="64" w:dllVersion="0" w:nlCheck="1" w:checkStyle="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98"/>
    <w:rsid w:val="000048A1"/>
    <w:rsid w:val="000118AB"/>
    <w:rsid w:val="000175E5"/>
    <w:rsid w:val="00022FC2"/>
    <w:rsid w:val="0003127B"/>
    <w:rsid w:val="00061505"/>
    <w:rsid w:val="000660F2"/>
    <w:rsid w:val="00066C6F"/>
    <w:rsid w:val="000A0438"/>
    <w:rsid w:val="000B5247"/>
    <w:rsid w:val="000C2CC0"/>
    <w:rsid w:val="00105BEA"/>
    <w:rsid w:val="00117D75"/>
    <w:rsid w:val="0012292D"/>
    <w:rsid w:val="00136294"/>
    <w:rsid w:val="0014052D"/>
    <w:rsid w:val="00151403"/>
    <w:rsid w:val="00174F0A"/>
    <w:rsid w:val="00186BCC"/>
    <w:rsid w:val="001B03F4"/>
    <w:rsid w:val="001D682E"/>
    <w:rsid w:val="002435AB"/>
    <w:rsid w:val="00246C2B"/>
    <w:rsid w:val="00252F6F"/>
    <w:rsid w:val="00253F0F"/>
    <w:rsid w:val="002A7EE2"/>
    <w:rsid w:val="002C3A7A"/>
    <w:rsid w:val="002D1522"/>
    <w:rsid w:val="00304291"/>
    <w:rsid w:val="00307253"/>
    <w:rsid w:val="0030751F"/>
    <w:rsid w:val="00330821"/>
    <w:rsid w:val="00335A9E"/>
    <w:rsid w:val="00335FCB"/>
    <w:rsid w:val="0034069E"/>
    <w:rsid w:val="00352AA4"/>
    <w:rsid w:val="0035335D"/>
    <w:rsid w:val="003643D9"/>
    <w:rsid w:val="003808DD"/>
    <w:rsid w:val="00393786"/>
    <w:rsid w:val="003A30DE"/>
    <w:rsid w:val="003A55B6"/>
    <w:rsid w:val="003B4611"/>
    <w:rsid w:val="003B5FDD"/>
    <w:rsid w:val="003D0F54"/>
    <w:rsid w:val="003D2DAD"/>
    <w:rsid w:val="003E20B7"/>
    <w:rsid w:val="003E78F9"/>
    <w:rsid w:val="003F5B4E"/>
    <w:rsid w:val="004256C9"/>
    <w:rsid w:val="004325C9"/>
    <w:rsid w:val="004334FB"/>
    <w:rsid w:val="00436D23"/>
    <w:rsid w:val="004519FE"/>
    <w:rsid w:val="00455172"/>
    <w:rsid w:val="00470C61"/>
    <w:rsid w:val="00471878"/>
    <w:rsid w:val="00484832"/>
    <w:rsid w:val="00487AA0"/>
    <w:rsid w:val="00497B20"/>
    <w:rsid w:val="004A211D"/>
    <w:rsid w:val="004B361E"/>
    <w:rsid w:val="004D29CB"/>
    <w:rsid w:val="004E1768"/>
    <w:rsid w:val="004F5A21"/>
    <w:rsid w:val="00500B49"/>
    <w:rsid w:val="00505A24"/>
    <w:rsid w:val="005114AC"/>
    <w:rsid w:val="00541C6D"/>
    <w:rsid w:val="005460F5"/>
    <w:rsid w:val="0055796D"/>
    <w:rsid w:val="0058417B"/>
    <w:rsid w:val="00587315"/>
    <w:rsid w:val="005941B2"/>
    <w:rsid w:val="005B0206"/>
    <w:rsid w:val="005B497D"/>
    <w:rsid w:val="005C61FB"/>
    <w:rsid w:val="005D087E"/>
    <w:rsid w:val="005D0AE1"/>
    <w:rsid w:val="005D20A0"/>
    <w:rsid w:val="005F1210"/>
    <w:rsid w:val="00600627"/>
    <w:rsid w:val="00602909"/>
    <w:rsid w:val="00613D79"/>
    <w:rsid w:val="006524B5"/>
    <w:rsid w:val="00672A5D"/>
    <w:rsid w:val="006763DF"/>
    <w:rsid w:val="00682427"/>
    <w:rsid w:val="006B5CBC"/>
    <w:rsid w:val="006B68EF"/>
    <w:rsid w:val="006D4799"/>
    <w:rsid w:val="006F51F0"/>
    <w:rsid w:val="007028B0"/>
    <w:rsid w:val="00711CBC"/>
    <w:rsid w:val="0072569A"/>
    <w:rsid w:val="00730242"/>
    <w:rsid w:val="00734153"/>
    <w:rsid w:val="00734B56"/>
    <w:rsid w:val="007419AF"/>
    <w:rsid w:val="00745FB6"/>
    <w:rsid w:val="0074782E"/>
    <w:rsid w:val="00753E5A"/>
    <w:rsid w:val="00764B70"/>
    <w:rsid w:val="00767A9A"/>
    <w:rsid w:val="00775CFA"/>
    <w:rsid w:val="007809CF"/>
    <w:rsid w:val="00785B91"/>
    <w:rsid w:val="007B024C"/>
    <w:rsid w:val="007C4E26"/>
    <w:rsid w:val="007E2DA6"/>
    <w:rsid w:val="007E533D"/>
    <w:rsid w:val="007E67C8"/>
    <w:rsid w:val="008056B4"/>
    <w:rsid w:val="00807721"/>
    <w:rsid w:val="008266AA"/>
    <w:rsid w:val="00826FFA"/>
    <w:rsid w:val="008A121E"/>
    <w:rsid w:val="008B2071"/>
    <w:rsid w:val="008C194B"/>
    <w:rsid w:val="008F2EEA"/>
    <w:rsid w:val="00900126"/>
    <w:rsid w:val="00906B53"/>
    <w:rsid w:val="0091443D"/>
    <w:rsid w:val="00916885"/>
    <w:rsid w:val="00921156"/>
    <w:rsid w:val="00937C9C"/>
    <w:rsid w:val="0095240B"/>
    <w:rsid w:val="009637A5"/>
    <w:rsid w:val="0097361E"/>
    <w:rsid w:val="009812B7"/>
    <w:rsid w:val="009C1DC1"/>
    <w:rsid w:val="009D6025"/>
    <w:rsid w:val="009E4839"/>
    <w:rsid w:val="009E73A7"/>
    <w:rsid w:val="00A10917"/>
    <w:rsid w:val="00A17351"/>
    <w:rsid w:val="00A17AF3"/>
    <w:rsid w:val="00A27B4F"/>
    <w:rsid w:val="00A30780"/>
    <w:rsid w:val="00A851FD"/>
    <w:rsid w:val="00A93B0E"/>
    <w:rsid w:val="00AA7230"/>
    <w:rsid w:val="00AA7714"/>
    <w:rsid w:val="00AC693A"/>
    <w:rsid w:val="00AE17C7"/>
    <w:rsid w:val="00AE3320"/>
    <w:rsid w:val="00AE74A3"/>
    <w:rsid w:val="00AF0AA8"/>
    <w:rsid w:val="00B0796B"/>
    <w:rsid w:val="00B21D8A"/>
    <w:rsid w:val="00B273FA"/>
    <w:rsid w:val="00B53AB5"/>
    <w:rsid w:val="00B60E2A"/>
    <w:rsid w:val="00B84E51"/>
    <w:rsid w:val="00B858FB"/>
    <w:rsid w:val="00BA4161"/>
    <w:rsid w:val="00BA6E22"/>
    <w:rsid w:val="00BD29A2"/>
    <w:rsid w:val="00BD45E3"/>
    <w:rsid w:val="00C33AF5"/>
    <w:rsid w:val="00C7341C"/>
    <w:rsid w:val="00C87938"/>
    <w:rsid w:val="00C90CF0"/>
    <w:rsid w:val="00C938B1"/>
    <w:rsid w:val="00CD7373"/>
    <w:rsid w:val="00D2648A"/>
    <w:rsid w:val="00D3488A"/>
    <w:rsid w:val="00D72821"/>
    <w:rsid w:val="00D925F5"/>
    <w:rsid w:val="00D95453"/>
    <w:rsid w:val="00D9592F"/>
    <w:rsid w:val="00DA5313"/>
    <w:rsid w:val="00DD257E"/>
    <w:rsid w:val="00E06311"/>
    <w:rsid w:val="00E06B6E"/>
    <w:rsid w:val="00E32B05"/>
    <w:rsid w:val="00E35B62"/>
    <w:rsid w:val="00E45598"/>
    <w:rsid w:val="00E46C0D"/>
    <w:rsid w:val="00E51178"/>
    <w:rsid w:val="00E553E4"/>
    <w:rsid w:val="00E64340"/>
    <w:rsid w:val="00E65DEE"/>
    <w:rsid w:val="00E76323"/>
    <w:rsid w:val="00E8414F"/>
    <w:rsid w:val="00E95378"/>
    <w:rsid w:val="00E95384"/>
    <w:rsid w:val="00EA385B"/>
    <w:rsid w:val="00EC115D"/>
    <w:rsid w:val="00EC4CD9"/>
    <w:rsid w:val="00EC75FB"/>
    <w:rsid w:val="00EE5C65"/>
    <w:rsid w:val="00EF7BC5"/>
    <w:rsid w:val="00F12BA2"/>
    <w:rsid w:val="00F17581"/>
    <w:rsid w:val="00F267D6"/>
    <w:rsid w:val="00F35DFD"/>
    <w:rsid w:val="00F552AA"/>
    <w:rsid w:val="00F66E44"/>
    <w:rsid w:val="00F71822"/>
    <w:rsid w:val="00F76487"/>
    <w:rsid w:val="00FB177A"/>
    <w:rsid w:val="00FC175C"/>
    <w:rsid w:val="00FD040F"/>
    <w:rsid w:val="00FE008F"/>
    <w:rsid w:val="00FF2A10"/>
    <w:rsid w:val="02875DA1"/>
    <w:rsid w:val="07BEF1A4"/>
    <w:rsid w:val="0C97AD6C"/>
    <w:rsid w:val="0D7E814E"/>
    <w:rsid w:val="108DBA9A"/>
    <w:rsid w:val="175769D4"/>
    <w:rsid w:val="1940FB57"/>
    <w:rsid w:val="1B6A339D"/>
    <w:rsid w:val="209BA452"/>
    <w:rsid w:val="21EE103F"/>
    <w:rsid w:val="23D4280D"/>
    <w:rsid w:val="243E80F4"/>
    <w:rsid w:val="24DDF0A3"/>
    <w:rsid w:val="295CDAD5"/>
    <w:rsid w:val="2E3C70EF"/>
    <w:rsid w:val="30B425C9"/>
    <w:rsid w:val="329C6674"/>
    <w:rsid w:val="344A5AF1"/>
    <w:rsid w:val="351BA3D1"/>
    <w:rsid w:val="3640B337"/>
    <w:rsid w:val="36DF148B"/>
    <w:rsid w:val="3A74971B"/>
    <w:rsid w:val="3DC01A1D"/>
    <w:rsid w:val="3DEA2F66"/>
    <w:rsid w:val="40AA9DA3"/>
    <w:rsid w:val="40E55577"/>
    <w:rsid w:val="41F0E226"/>
    <w:rsid w:val="4238E5E5"/>
    <w:rsid w:val="43090873"/>
    <w:rsid w:val="475B2E62"/>
    <w:rsid w:val="4A1A181A"/>
    <w:rsid w:val="4A89B340"/>
    <w:rsid w:val="4A9E05D6"/>
    <w:rsid w:val="4B67C076"/>
    <w:rsid w:val="4B6D4281"/>
    <w:rsid w:val="4EAA315B"/>
    <w:rsid w:val="5187AD8F"/>
    <w:rsid w:val="5324ED21"/>
    <w:rsid w:val="57211547"/>
    <w:rsid w:val="575CE820"/>
    <w:rsid w:val="5798B730"/>
    <w:rsid w:val="5C0ABF3E"/>
    <w:rsid w:val="5D3A481A"/>
    <w:rsid w:val="6166C379"/>
    <w:rsid w:val="62E9D5E1"/>
    <w:rsid w:val="6858D18D"/>
    <w:rsid w:val="706FC081"/>
    <w:rsid w:val="722D65D0"/>
    <w:rsid w:val="722F62B9"/>
    <w:rsid w:val="72C70758"/>
    <w:rsid w:val="74281584"/>
    <w:rsid w:val="742E54A1"/>
    <w:rsid w:val="7511BBBD"/>
    <w:rsid w:val="77FF435C"/>
    <w:rsid w:val="79A14D97"/>
    <w:rsid w:val="7A02921F"/>
    <w:rsid w:val="7A5A74B9"/>
    <w:rsid w:val="7BF7BC83"/>
    <w:rsid w:val="7DFC5847"/>
    <w:rsid w:val="7EC42DE3"/>
    <w:rsid w:val="7EE895C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76550"/>
  <w15:chartTrackingRefBased/>
  <w15:docId w15:val="{64FF9A13-90B5-4C15-9E0F-BD4BAE34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325C9"/>
    <w:rPr>
      <w:rFonts w:ascii="Segoe UI Light" w:hAnsi="Segoe UI Light"/>
    </w:rPr>
  </w:style>
  <w:style w:type="paragraph" w:styleId="berschrift1">
    <w:name w:val="heading 1"/>
    <w:basedOn w:val="Standard"/>
    <w:next w:val="Standard"/>
    <w:link w:val="berschrift1Zchn"/>
    <w:uiPriority w:val="9"/>
    <w:rsid w:val="007E533D"/>
    <w:pPr>
      <w:keepNext/>
      <w:keepLines/>
      <w:spacing w:before="240" w:after="0"/>
      <w:outlineLvl w:val="0"/>
    </w:pPr>
    <w:rPr>
      <w:rFonts w:asciiTheme="majorHAnsi" w:eastAsiaTheme="majorEastAsia" w:hAnsiTheme="majorHAnsi" w:cstheme="majorBidi"/>
      <w:color w:val="001329" w:themeColor="accent1" w:themeShade="BF"/>
      <w:sz w:val="32"/>
      <w:szCs w:val="32"/>
    </w:rPr>
  </w:style>
  <w:style w:type="paragraph" w:styleId="berschrift2">
    <w:name w:val="heading 2"/>
    <w:basedOn w:val="Standard"/>
    <w:next w:val="Standard"/>
    <w:link w:val="berschrift2Zchn"/>
    <w:uiPriority w:val="9"/>
    <w:semiHidden/>
    <w:unhideWhenUsed/>
    <w:rsid w:val="00734153"/>
    <w:pPr>
      <w:keepNext/>
      <w:keepLines/>
      <w:spacing w:before="40" w:after="0"/>
      <w:outlineLvl w:val="1"/>
    </w:pPr>
    <w:rPr>
      <w:rFonts w:asciiTheme="majorHAnsi" w:eastAsiaTheme="majorEastAsia" w:hAnsiTheme="majorHAnsi" w:cstheme="majorBidi"/>
      <w:color w:val="001329" w:themeColor="accent1" w:themeShade="BF"/>
      <w:sz w:val="26"/>
      <w:szCs w:val="26"/>
    </w:rPr>
  </w:style>
  <w:style w:type="paragraph" w:styleId="berschrift3">
    <w:name w:val="heading 3"/>
    <w:basedOn w:val="Standard"/>
    <w:next w:val="Standard"/>
    <w:link w:val="berschrift3Zchn"/>
    <w:uiPriority w:val="9"/>
    <w:semiHidden/>
    <w:unhideWhenUsed/>
    <w:qFormat/>
    <w:rsid w:val="00734153"/>
    <w:pPr>
      <w:keepNext/>
      <w:keepLines/>
      <w:spacing w:before="40" w:after="0"/>
      <w:outlineLvl w:val="2"/>
    </w:pPr>
    <w:rPr>
      <w:rFonts w:asciiTheme="majorHAnsi" w:eastAsiaTheme="majorEastAsia" w:hAnsiTheme="majorHAnsi" w:cstheme="majorBidi"/>
      <w:color w:val="000D1B"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4Headline1">
    <w:name w:val="04 Headline 1"/>
    <w:basedOn w:val="berschrift1"/>
    <w:link w:val="04Headline1Char"/>
    <w:qFormat/>
    <w:rsid w:val="00F12BA2"/>
    <w:pPr>
      <w:numPr>
        <w:numId w:val="16"/>
      </w:numPr>
      <w:spacing w:before="360" w:after="240"/>
      <w:ind w:left="357" w:hanging="357"/>
    </w:pPr>
    <w:rPr>
      <w:rFonts w:ascii="Segoe UI Semibold" w:hAnsi="Segoe UI Semibold"/>
      <w:color w:val="001738"/>
      <w:lang w:val="fr-FR"/>
    </w:rPr>
  </w:style>
  <w:style w:type="character" w:customStyle="1" w:styleId="berschrift1Zchn">
    <w:name w:val="Überschrift 1 Zchn"/>
    <w:basedOn w:val="Absatz-Standardschriftart"/>
    <w:link w:val="berschrift1"/>
    <w:uiPriority w:val="9"/>
    <w:rsid w:val="007E533D"/>
    <w:rPr>
      <w:rFonts w:asciiTheme="majorHAnsi" w:eastAsiaTheme="majorEastAsia" w:hAnsiTheme="majorHAnsi" w:cstheme="majorBidi"/>
      <w:color w:val="001329" w:themeColor="accent1" w:themeShade="BF"/>
      <w:sz w:val="32"/>
      <w:szCs w:val="32"/>
    </w:rPr>
  </w:style>
  <w:style w:type="paragraph" w:customStyle="1" w:styleId="05aHeadline2">
    <w:name w:val="05 a Headline 2"/>
    <w:basedOn w:val="04Headline1"/>
    <w:link w:val="05aHeadline2Char"/>
    <w:qFormat/>
    <w:rsid w:val="00B858FB"/>
    <w:pPr>
      <w:numPr>
        <w:numId w:val="0"/>
      </w:numPr>
    </w:pPr>
    <w:rPr>
      <w:sz w:val="28"/>
    </w:rPr>
  </w:style>
  <w:style w:type="paragraph" w:customStyle="1" w:styleId="06Headline3">
    <w:name w:val="06 Headline 3"/>
    <w:basedOn w:val="05aHeadline2"/>
    <w:qFormat/>
    <w:rsid w:val="003A30DE"/>
    <w:rPr>
      <w:sz w:val="24"/>
    </w:rPr>
  </w:style>
  <w:style w:type="paragraph" w:customStyle="1" w:styleId="07NumbersLevel1">
    <w:name w:val="07 Numbers Level 1"/>
    <w:basedOn w:val="Aufzhlungszeichen"/>
    <w:qFormat/>
    <w:rsid w:val="00B858FB"/>
    <w:pPr>
      <w:numPr>
        <w:numId w:val="4"/>
      </w:numPr>
      <w:spacing w:after="120"/>
      <w:ind w:left="714" w:hanging="357"/>
    </w:pPr>
    <w:rPr>
      <w:color w:val="000000" w:themeColor="text1"/>
    </w:rPr>
  </w:style>
  <w:style w:type="character" w:styleId="Hyperlink">
    <w:name w:val="Hyperlink"/>
    <w:aliases w:val="11 Hyperlink"/>
    <w:basedOn w:val="Absatz-Standardschriftart"/>
    <w:uiPriority w:val="99"/>
    <w:unhideWhenUsed/>
    <w:qFormat/>
    <w:rsid w:val="00186BCC"/>
    <w:rPr>
      <w:rFonts w:ascii="Segoe UI Light" w:hAnsi="Segoe UI Light"/>
      <w:color w:val="E64415" w:themeColor="accent2"/>
      <w:u w:val="single"/>
    </w:rPr>
  </w:style>
  <w:style w:type="character" w:customStyle="1" w:styleId="berschrift2Zchn">
    <w:name w:val="Überschrift 2 Zchn"/>
    <w:basedOn w:val="Absatz-Standardschriftart"/>
    <w:link w:val="berschrift2"/>
    <w:uiPriority w:val="9"/>
    <w:semiHidden/>
    <w:rsid w:val="00734153"/>
    <w:rPr>
      <w:rFonts w:asciiTheme="majorHAnsi" w:eastAsiaTheme="majorEastAsia" w:hAnsiTheme="majorHAnsi" w:cstheme="majorBidi"/>
      <w:color w:val="001329" w:themeColor="accent1" w:themeShade="BF"/>
      <w:sz w:val="26"/>
      <w:szCs w:val="26"/>
    </w:rPr>
  </w:style>
  <w:style w:type="paragraph" w:styleId="Aufzhlungszeichen">
    <w:name w:val="List Bullet"/>
    <w:basedOn w:val="Standard"/>
    <w:uiPriority w:val="99"/>
    <w:semiHidden/>
    <w:unhideWhenUsed/>
    <w:rsid w:val="005C61FB"/>
    <w:pPr>
      <w:numPr>
        <w:numId w:val="3"/>
      </w:numPr>
      <w:contextualSpacing/>
    </w:pPr>
  </w:style>
  <w:style w:type="paragraph" w:styleId="Inhaltsverzeichnisberschrift">
    <w:name w:val="TOC Heading"/>
    <w:basedOn w:val="berschrift1"/>
    <w:next w:val="Standard"/>
    <w:uiPriority w:val="39"/>
    <w:unhideWhenUsed/>
    <w:qFormat/>
    <w:rsid w:val="00A93B0E"/>
    <w:pPr>
      <w:outlineLvl w:val="9"/>
    </w:pPr>
    <w:rPr>
      <w:rFonts w:ascii="Segoe UI Semibold" w:hAnsi="Segoe UI Semibold"/>
      <w:color w:val="001738"/>
    </w:rPr>
  </w:style>
  <w:style w:type="paragraph" w:styleId="Verzeichnis2">
    <w:name w:val="toc 2"/>
    <w:basedOn w:val="Standard"/>
    <w:next w:val="Standard"/>
    <w:autoRedefine/>
    <w:uiPriority w:val="39"/>
    <w:unhideWhenUsed/>
    <w:rsid w:val="004325C9"/>
    <w:pPr>
      <w:spacing w:before="240" w:after="0"/>
      <w:ind w:left="425"/>
    </w:pPr>
    <w:rPr>
      <w:bCs/>
      <w:color w:val="777777" w:themeColor="accent3" w:themeShade="BF"/>
      <w:szCs w:val="20"/>
    </w:rPr>
  </w:style>
  <w:style w:type="paragraph" w:styleId="Verzeichnis1">
    <w:name w:val="toc 1"/>
    <w:basedOn w:val="03BodyText"/>
    <w:next w:val="03BodyText"/>
    <w:link w:val="Verzeichnis1Zchn"/>
    <w:autoRedefine/>
    <w:uiPriority w:val="39"/>
    <w:unhideWhenUsed/>
    <w:rsid w:val="00A93B0E"/>
    <w:pPr>
      <w:tabs>
        <w:tab w:val="left" w:pos="425"/>
        <w:tab w:val="right" w:leader="dot" w:pos="9061"/>
      </w:tabs>
      <w:spacing w:before="360" w:after="0"/>
    </w:pPr>
    <w:rPr>
      <w:bCs/>
      <w:sz w:val="24"/>
      <w:szCs w:val="24"/>
    </w:rPr>
  </w:style>
  <w:style w:type="paragraph" w:styleId="Verzeichnis3">
    <w:name w:val="toc 3"/>
    <w:basedOn w:val="Standard"/>
    <w:next w:val="Standard"/>
    <w:autoRedefine/>
    <w:uiPriority w:val="39"/>
    <w:unhideWhenUsed/>
    <w:rsid w:val="004325C9"/>
    <w:pPr>
      <w:spacing w:after="0"/>
      <w:ind w:left="567"/>
    </w:pPr>
    <w:rPr>
      <w:color w:val="777777" w:themeColor="accent3" w:themeShade="BF"/>
      <w:sz w:val="20"/>
      <w:szCs w:val="20"/>
    </w:rPr>
  </w:style>
  <w:style w:type="paragraph" w:customStyle="1" w:styleId="01HeadlineFrontpage">
    <w:name w:val="01 Headline Frontpage"/>
    <w:basedOn w:val="berschrift1"/>
    <w:qFormat/>
    <w:rsid w:val="00F12BA2"/>
    <w:pPr>
      <w:ind w:left="720"/>
      <w:jc w:val="right"/>
    </w:pPr>
    <w:rPr>
      <w:rFonts w:ascii="Segoe UI Semibold" w:hAnsi="Segoe UI Semibold"/>
      <w:color w:val="001738"/>
      <w:sz w:val="72"/>
      <w:lang w:val="de-AT"/>
    </w:rPr>
  </w:style>
  <w:style w:type="paragraph" w:customStyle="1" w:styleId="02SubheadlineFrontpage">
    <w:name w:val="02 Subheadline Frontpage"/>
    <w:basedOn w:val="01HeadlineFrontpage"/>
    <w:qFormat/>
    <w:rsid w:val="00F35DFD"/>
    <w:pPr>
      <w:spacing w:before="0"/>
    </w:pPr>
    <w:rPr>
      <w:i/>
      <w:sz w:val="40"/>
    </w:rPr>
  </w:style>
  <w:style w:type="paragraph" w:customStyle="1" w:styleId="03BodyText">
    <w:name w:val="03 Body Text"/>
    <w:basedOn w:val="Standard"/>
    <w:link w:val="03BodyTextZchn"/>
    <w:qFormat/>
    <w:rsid w:val="0074782E"/>
    <w:pPr>
      <w:spacing w:after="360" w:line="312" w:lineRule="auto"/>
    </w:pPr>
    <w:rPr>
      <w:color w:val="000000" w:themeColor="text1"/>
    </w:rPr>
  </w:style>
  <w:style w:type="character" w:customStyle="1" w:styleId="berschrift3Zchn">
    <w:name w:val="Überschrift 3 Zchn"/>
    <w:basedOn w:val="Absatz-Standardschriftart"/>
    <w:link w:val="berschrift3"/>
    <w:uiPriority w:val="9"/>
    <w:semiHidden/>
    <w:rsid w:val="00734153"/>
    <w:rPr>
      <w:rFonts w:asciiTheme="majorHAnsi" w:eastAsiaTheme="majorEastAsia" w:hAnsiTheme="majorHAnsi" w:cstheme="majorBidi"/>
      <w:color w:val="000D1B" w:themeColor="accent1" w:themeShade="7F"/>
      <w:sz w:val="24"/>
      <w:szCs w:val="24"/>
    </w:rPr>
  </w:style>
  <w:style w:type="paragraph" w:styleId="Verzeichnis4">
    <w:name w:val="toc 4"/>
    <w:basedOn w:val="Standard"/>
    <w:next w:val="Standard"/>
    <w:autoRedefine/>
    <w:uiPriority w:val="39"/>
    <w:unhideWhenUsed/>
    <w:rsid w:val="004325C9"/>
    <w:pPr>
      <w:spacing w:after="0"/>
      <w:ind w:left="440"/>
    </w:pPr>
    <w:rPr>
      <w:sz w:val="20"/>
      <w:szCs w:val="20"/>
    </w:rPr>
  </w:style>
  <w:style w:type="paragraph" w:styleId="Verzeichnis5">
    <w:name w:val="toc 5"/>
    <w:basedOn w:val="Standard"/>
    <w:next w:val="Standard"/>
    <w:autoRedefine/>
    <w:uiPriority w:val="39"/>
    <w:unhideWhenUsed/>
    <w:rsid w:val="004325C9"/>
    <w:pPr>
      <w:spacing w:after="0"/>
      <w:ind w:left="660"/>
    </w:pPr>
    <w:rPr>
      <w:sz w:val="20"/>
      <w:szCs w:val="20"/>
    </w:rPr>
  </w:style>
  <w:style w:type="paragraph" w:styleId="Verzeichnis6">
    <w:name w:val="toc 6"/>
    <w:basedOn w:val="Standard"/>
    <w:next w:val="Standard"/>
    <w:autoRedefine/>
    <w:uiPriority w:val="39"/>
    <w:unhideWhenUsed/>
    <w:rsid w:val="00734153"/>
    <w:pPr>
      <w:spacing w:after="0"/>
      <w:ind w:left="880"/>
    </w:pPr>
    <w:rPr>
      <w:sz w:val="20"/>
      <w:szCs w:val="20"/>
    </w:rPr>
  </w:style>
  <w:style w:type="paragraph" w:styleId="Verzeichnis7">
    <w:name w:val="toc 7"/>
    <w:basedOn w:val="Standard"/>
    <w:next w:val="Standard"/>
    <w:autoRedefine/>
    <w:uiPriority w:val="39"/>
    <w:unhideWhenUsed/>
    <w:rsid w:val="00734153"/>
    <w:pPr>
      <w:spacing w:after="0"/>
      <w:ind w:left="1100"/>
    </w:pPr>
    <w:rPr>
      <w:sz w:val="20"/>
      <w:szCs w:val="20"/>
    </w:rPr>
  </w:style>
  <w:style w:type="paragraph" w:styleId="Verzeichnis8">
    <w:name w:val="toc 8"/>
    <w:basedOn w:val="Standard"/>
    <w:next w:val="Standard"/>
    <w:autoRedefine/>
    <w:uiPriority w:val="39"/>
    <w:unhideWhenUsed/>
    <w:rsid w:val="00734153"/>
    <w:pPr>
      <w:spacing w:after="0"/>
      <w:ind w:left="1320"/>
    </w:pPr>
    <w:rPr>
      <w:sz w:val="20"/>
      <w:szCs w:val="20"/>
    </w:rPr>
  </w:style>
  <w:style w:type="paragraph" w:styleId="Verzeichnis9">
    <w:name w:val="toc 9"/>
    <w:basedOn w:val="Standard"/>
    <w:next w:val="Standard"/>
    <w:autoRedefine/>
    <w:uiPriority w:val="39"/>
    <w:unhideWhenUsed/>
    <w:rsid w:val="00734153"/>
    <w:pPr>
      <w:spacing w:after="0"/>
      <w:ind w:left="1540"/>
    </w:pPr>
    <w:rPr>
      <w:sz w:val="20"/>
      <w:szCs w:val="20"/>
    </w:rPr>
  </w:style>
  <w:style w:type="paragraph" w:customStyle="1" w:styleId="07NumbersLevel2">
    <w:name w:val="07 Numbers Level 2"/>
    <w:basedOn w:val="07NumbersLevel1"/>
    <w:qFormat/>
    <w:rsid w:val="00352AA4"/>
    <w:pPr>
      <w:numPr>
        <w:ilvl w:val="1"/>
      </w:numPr>
    </w:pPr>
  </w:style>
  <w:style w:type="paragraph" w:customStyle="1" w:styleId="08BulletsLevel1">
    <w:name w:val="08 Bullets Level 1"/>
    <w:basedOn w:val="03BodyText"/>
    <w:qFormat/>
    <w:rsid w:val="003D2DAD"/>
    <w:pPr>
      <w:numPr>
        <w:numId w:val="18"/>
      </w:numPr>
      <w:spacing w:after="120"/>
      <w:ind w:left="851"/>
    </w:pPr>
    <w:rPr>
      <w:lang w:val="fr-FR"/>
    </w:rPr>
  </w:style>
  <w:style w:type="paragraph" w:customStyle="1" w:styleId="08BulletsLevel2">
    <w:name w:val="08 Bullets Level 2"/>
    <w:basedOn w:val="08BulletsLevel1"/>
    <w:qFormat/>
    <w:rsid w:val="003D2DAD"/>
    <w:pPr>
      <w:numPr>
        <w:numId w:val="6"/>
      </w:numPr>
      <w:ind w:left="1276"/>
    </w:pPr>
  </w:style>
  <w:style w:type="paragraph" w:customStyle="1" w:styleId="08BulletsLevel3">
    <w:name w:val="08 Bullets Level 3"/>
    <w:basedOn w:val="08BulletsLevel2"/>
    <w:qFormat/>
    <w:rsid w:val="003D2DAD"/>
    <w:pPr>
      <w:numPr>
        <w:numId w:val="7"/>
      </w:numPr>
      <w:ind w:left="1701"/>
    </w:pPr>
  </w:style>
  <w:style w:type="paragraph" w:styleId="Kopfzeile">
    <w:name w:val="header"/>
    <w:basedOn w:val="Standard"/>
    <w:link w:val="KopfzeileZchn"/>
    <w:uiPriority w:val="99"/>
    <w:unhideWhenUsed/>
    <w:rsid w:val="004334FB"/>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4334FB"/>
  </w:style>
  <w:style w:type="paragraph" w:styleId="Fuzeile">
    <w:name w:val="footer"/>
    <w:basedOn w:val="Standard"/>
    <w:link w:val="FuzeileZchn"/>
    <w:uiPriority w:val="99"/>
    <w:unhideWhenUsed/>
    <w:rsid w:val="004334FB"/>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4334FB"/>
  </w:style>
  <w:style w:type="paragraph" w:styleId="Beschriftung">
    <w:name w:val="caption"/>
    <w:aliases w:val="10 Figure Text"/>
    <w:basedOn w:val="Standard"/>
    <w:next w:val="Standard"/>
    <w:uiPriority w:val="35"/>
    <w:unhideWhenUsed/>
    <w:qFormat/>
    <w:rsid w:val="00186BCC"/>
    <w:pPr>
      <w:spacing w:after="200" w:line="240" w:lineRule="auto"/>
    </w:pPr>
    <w:rPr>
      <w:i/>
      <w:iCs/>
      <w:color w:val="A0A0A0" w:themeColor="accent3"/>
      <w:sz w:val="18"/>
      <w:szCs w:val="18"/>
    </w:rPr>
  </w:style>
  <w:style w:type="paragraph" w:customStyle="1" w:styleId="09Copyright">
    <w:name w:val="09 Copyright"/>
    <w:basedOn w:val="03BodyText"/>
    <w:qFormat/>
    <w:rsid w:val="007419AF"/>
    <w:pPr>
      <w:spacing w:after="240" w:line="240" w:lineRule="auto"/>
    </w:pPr>
    <w:rPr>
      <w:color w:val="808080" w:themeColor="background1" w:themeShade="80"/>
      <w:sz w:val="16"/>
    </w:rPr>
  </w:style>
  <w:style w:type="paragraph" w:customStyle="1" w:styleId="Formatvorlage1">
    <w:name w:val="Formatvorlage1"/>
    <w:basedOn w:val="03BodyText"/>
    <w:link w:val="Formatvorlage1Zchn"/>
    <w:rsid w:val="00AF0AA8"/>
    <w:pPr>
      <w:spacing w:after="0"/>
    </w:pPr>
    <w:rPr>
      <w:color w:val="505050" w:themeColor="accent3" w:themeShade="80"/>
    </w:rPr>
  </w:style>
  <w:style w:type="character" w:customStyle="1" w:styleId="03BodyTextZchn">
    <w:name w:val="03 Body Text Zchn"/>
    <w:basedOn w:val="Absatz-Standardschriftart"/>
    <w:link w:val="03BodyText"/>
    <w:rsid w:val="0074782E"/>
    <w:rPr>
      <w:rFonts w:ascii="Segoe UI Light" w:hAnsi="Segoe UI Light"/>
      <w:color w:val="000000" w:themeColor="text1"/>
    </w:rPr>
  </w:style>
  <w:style w:type="character" w:customStyle="1" w:styleId="Formatvorlage1Zchn">
    <w:name w:val="Formatvorlage1 Zchn"/>
    <w:basedOn w:val="03BodyTextZchn"/>
    <w:link w:val="Formatvorlage1"/>
    <w:rsid w:val="00AF0AA8"/>
    <w:rPr>
      <w:rFonts w:ascii="Arial" w:hAnsi="Arial"/>
      <w:color w:val="505050" w:themeColor="accent3" w:themeShade="80"/>
    </w:rPr>
  </w:style>
  <w:style w:type="table" w:styleId="Tabellenraster">
    <w:name w:val="Table Grid"/>
    <w:basedOn w:val="NormaleTabelle"/>
    <w:uiPriority w:val="39"/>
    <w:rsid w:val="003E7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Table">
    <w:name w:val="12 Table"/>
    <w:basedOn w:val="03BodyText"/>
    <w:link w:val="12TableChar"/>
    <w:autoRedefine/>
    <w:qFormat/>
    <w:rsid w:val="00775CFA"/>
    <w:pPr>
      <w:spacing w:before="60" w:after="60"/>
    </w:pPr>
    <w:rPr>
      <w:noProof/>
      <w:sz w:val="18"/>
      <w:szCs w:val="18"/>
    </w:rPr>
  </w:style>
  <w:style w:type="character" w:customStyle="1" w:styleId="12TableChar">
    <w:name w:val="12 Table Char"/>
    <w:basedOn w:val="03BodyTextZchn"/>
    <w:link w:val="12Table"/>
    <w:rsid w:val="00775CFA"/>
    <w:rPr>
      <w:rFonts w:ascii="Segoe UI Light" w:hAnsi="Segoe UI Light"/>
      <w:noProof/>
      <w:color w:val="000000" w:themeColor="text1"/>
      <w:sz w:val="18"/>
      <w:szCs w:val="18"/>
    </w:rPr>
  </w:style>
  <w:style w:type="paragraph" w:styleId="Funotentext">
    <w:name w:val="footnote text"/>
    <w:basedOn w:val="Standard"/>
    <w:link w:val="FunotentextZchn"/>
    <w:uiPriority w:val="99"/>
    <w:semiHidden/>
    <w:unhideWhenUsed/>
    <w:rsid w:val="003E78F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E78F9"/>
    <w:rPr>
      <w:sz w:val="20"/>
      <w:szCs w:val="20"/>
    </w:rPr>
  </w:style>
  <w:style w:type="character" w:styleId="Funotenzeichen">
    <w:name w:val="footnote reference"/>
    <w:basedOn w:val="Absatz-Standardschriftart"/>
    <w:uiPriority w:val="99"/>
    <w:semiHidden/>
    <w:unhideWhenUsed/>
    <w:rsid w:val="003E78F9"/>
    <w:rPr>
      <w:vertAlign w:val="superscript"/>
    </w:rPr>
  </w:style>
  <w:style w:type="paragraph" w:customStyle="1" w:styleId="13Footnote">
    <w:name w:val="13 Footnote"/>
    <w:basedOn w:val="Funotentext"/>
    <w:link w:val="13FootnoteChar"/>
    <w:qFormat/>
    <w:rsid w:val="003A55B6"/>
    <w:rPr>
      <w:rFonts w:cs="Arial"/>
      <w:color w:val="777777" w:themeColor="accent3" w:themeShade="BF"/>
      <w:sz w:val="16"/>
      <w:szCs w:val="16"/>
    </w:rPr>
  </w:style>
  <w:style w:type="character" w:customStyle="1" w:styleId="13FootnoteChar">
    <w:name w:val="13 Footnote Char"/>
    <w:basedOn w:val="FunotentextZchn"/>
    <w:link w:val="13Footnote"/>
    <w:rsid w:val="003A55B6"/>
    <w:rPr>
      <w:rFonts w:ascii="Segoe UI Light" w:hAnsi="Segoe UI Light" w:cs="Arial"/>
      <w:color w:val="777777" w:themeColor="accent3" w:themeShade="BF"/>
      <w:sz w:val="16"/>
      <w:szCs w:val="16"/>
    </w:rPr>
  </w:style>
  <w:style w:type="numbering" w:customStyle="1" w:styleId="05bHeadlinenumbered">
    <w:name w:val="05 b Headline numbered"/>
    <w:uiPriority w:val="99"/>
    <w:rsid w:val="00AA7714"/>
    <w:pPr>
      <w:numPr>
        <w:numId w:val="9"/>
      </w:numPr>
    </w:pPr>
  </w:style>
  <w:style w:type="paragraph" w:customStyle="1" w:styleId="05bHeadlinenumbered-">
    <w:name w:val="05 b Headline numbered-"/>
    <w:basedOn w:val="05aHeadline2"/>
    <w:next w:val="03BodyText"/>
    <w:link w:val="05bHeadlinenumbered-Char"/>
    <w:rsid w:val="00FB177A"/>
    <w:pPr>
      <w:numPr>
        <w:ilvl w:val="1"/>
        <w:numId w:val="12"/>
      </w:numPr>
      <w:ind w:left="357" w:hanging="357"/>
      <w:outlineLvl w:val="1"/>
    </w:pPr>
  </w:style>
  <w:style w:type="paragraph" w:styleId="Listenabsatz">
    <w:name w:val="List Paragraph"/>
    <w:basedOn w:val="Standard"/>
    <w:uiPriority w:val="34"/>
    <w:rsid w:val="00AA7714"/>
    <w:pPr>
      <w:ind w:left="720"/>
      <w:contextualSpacing/>
    </w:pPr>
  </w:style>
  <w:style w:type="character" w:customStyle="1" w:styleId="04Headline1Char">
    <w:name w:val="04 Headline 1 Char"/>
    <w:basedOn w:val="berschrift1Zchn"/>
    <w:link w:val="04Headline1"/>
    <w:rsid w:val="00F12BA2"/>
    <w:rPr>
      <w:rFonts w:ascii="Segoe UI Semibold" w:eastAsiaTheme="majorEastAsia" w:hAnsi="Segoe UI Semibold" w:cstheme="majorBidi"/>
      <w:color w:val="001738"/>
      <w:sz w:val="32"/>
      <w:szCs w:val="32"/>
      <w:lang w:val="fr-FR"/>
    </w:rPr>
  </w:style>
  <w:style w:type="character" w:customStyle="1" w:styleId="05aHeadline2Char">
    <w:name w:val="05 a Headline 2 Char"/>
    <w:basedOn w:val="04Headline1Char"/>
    <w:link w:val="05aHeadline2"/>
    <w:rsid w:val="00B858FB"/>
    <w:rPr>
      <w:rFonts w:ascii="Segoe UI Semibold" w:eastAsiaTheme="majorEastAsia" w:hAnsi="Segoe UI Semibold" w:cstheme="majorBidi"/>
      <w:color w:val="001B38" w:themeColor="accent1"/>
      <w:sz w:val="28"/>
      <w:szCs w:val="32"/>
      <w:lang w:val="fr-FR"/>
    </w:rPr>
  </w:style>
  <w:style w:type="character" w:customStyle="1" w:styleId="05bHeadlinenumbered-Char">
    <w:name w:val="05 b Headline numbered- Char"/>
    <w:basedOn w:val="05aHeadline2Char"/>
    <w:link w:val="05bHeadlinenumbered-"/>
    <w:rsid w:val="00FB177A"/>
    <w:rPr>
      <w:rFonts w:ascii="Arial" w:eastAsiaTheme="majorEastAsia" w:hAnsi="Arial" w:cstheme="majorBidi"/>
      <w:b w:val="0"/>
      <w:color w:val="001B38" w:themeColor="accent1"/>
      <w:sz w:val="28"/>
      <w:szCs w:val="32"/>
      <w:lang w:val="fr-FR"/>
    </w:rPr>
  </w:style>
  <w:style w:type="numbering" w:customStyle="1" w:styleId="Style1">
    <w:name w:val="Style1"/>
    <w:basedOn w:val="KeineListe"/>
    <w:uiPriority w:val="99"/>
    <w:rsid w:val="004A211D"/>
    <w:pPr>
      <w:numPr>
        <w:numId w:val="12"/>
      </w:numPr>
    </w:pPr>
  </w:style>
  <w:style w:type="paragraph" w:customStyle="1" w:styleId="05bHeadline2numbered">
    <w:name w:val="05 b Headline 2 numbered"/>
    <w:basedOn w:val="05bHeadlinenumbered-"/>
    <w:link w:val="05bHeadline2numberedChar"/>
    <w:qFormat/>
    <w:rsid w:val="00F35DFD"/>
    <w:pPr>
      <w:numPr>
        <w:numId w:val="16"/>
      </w:numPr>
      <w:ind w:left="641" w:hanging="284"/>
    </w:pPr>
  </w:style>
  <w:style w:type="character" w:customStyle="1" w:styleId="05bHeadline2numberedChar">
    <w:name w:val="05 b Headline 2 numbered Char"/>
    <w:basedOn w:val="05bHeadlinenumbered-Char"/>
    <w:link w:val="05bHeadline2numbered"/>
    <w:rsid w:val="00F35DFD"/>
    <w:rPr>
      <w:rFonts w:ascii="Segoe UI Semibold" w:eastAsiaTheme="majorEastAsia" w:hAnsi="Segoe UI Semibold" w:cstheme="majorBidi"/>
      <w:b w:val="0"/>
      <w:color w:val="001B38" w:themeColor="accent1"/>
      <w:sz w:val="28"/>
      <w:szCs w:val="32"/>
      <w:lang w:val="fr-FR"/>
    </w:rPr>
  </w:style>
  <w:style w:type="paragraph" w:customStyle="1" w:styleId="06bHeadline3numbered">
    <w:name w:val="06 b Headline 3 numbered"/>
    <w:basedOn w:val="06Headline3"/>
    <w:qFormat/>
    <w:rsid w:val="00F35DFD"/>
    <w:pPr>
      <w:numPr>
        <w:ilvl w:val="2"/>
        <w:numId w:val="16"/>
      </w:numPr>
      <w:spacing w:before="240" w:after="120"/>
      <w:ind w:left="714" w:hanging="357"/>
    </w:pPr>
  </w:style>
  <w:style w:type="numbering" w:customStyle="1" w:styleId="MultilayerListstraton">
    <w:name w:val="Multilayer List straton"/>
    <w:basedOn w:val="Style1"/>
    <w:uiPriority w:val="99"/>
    <w:rsid w:val="007809CF"/>
    <w:pPr>
      <w:numPr>
        <w:numId w:val="16"/>
      </w:numPr>
    </w:pPr>
  </w:style>
  <w:style w:type="table" w:customStyle="1" w:styleId="COPA-DATATable2026">
    <w:name w:val="COPA-DATA Table 2026"/>
    <w:basedOn w:val="NormaleTabelle"/>
    <w:uiPriority w:val="99"/>
    <w:rsid w:val="00775CFA"/>
    <w:pPr>
      <w:spacing w:after="0" w:line="240" w:lineRule="auto"/>
    </w:pPr>
    <w:rPr>
      <w:rFonts w:ascii="Segoe UI Light" w:hAnsi="Segoe UI Light" w:cs="Segoe UI Light"/>
      <w:sz w:val="19"/>
    </w:rPr>
    <w:tblPr>
      <w:tblBorders>
        <w:insideH w:val="single" w:sz="4" w:space="0" w:color="D9D9D9" w:themeColor="background1" w:themeShade="D9"/>
      </w:tblBorders>
    </w:tblPr>
    <w:tblStylePr w:type="firstRow">
      <w:rPr>
        <w:rFonts w:ascii="Segoe UI Semibold" w:hAnsi="Segoe UI Semibold" w:cs="Segoe UI Semibold"/>
        <w:b w:val="0"/>
        <w:bCs w:val="0"/>
        <w:i w:val="0"/>
        <w:iCs w:val="0"/>
        <w:caps w:val="0"/>
        <w:smallCaps w:val="0"/>
        <w:strike w:val="0"/>
        <w:dstrike w:val="0"/>
        <w:vanish w:val="0"/>
        <w:color w:val="001738"/>
        <w:sz w:val="19"/>
        <w:szCs w:val="22"/>
        <w:u w:val="none"/>
        <w:vertAlign w:val="baseline"/>
        <w:em w:val="none"/>
      </w:rPr>
      <w:tblPr/>
      <w:tcPr>
        <w:tcBorders>
          <w:top w:val="nil"/>
          <w:left w:val="nil"/>
          <w:bottom w:val="single" w:sz="8" w:space="0" w:color="F15A22"/>
          <w:right w:val="nil"/>
          <w:insideH w:val="nil"/>
          <w:insideV w:val="nil"/>
        </w:tcBorders>
      </w:tcPr>
    </w:tblStylePr>
  </w:style>
  <w:style w:type="paragraph" w:customStyle="1" w:styleId="PageHeaderTitle">
    <w:name w:val="Page Header Title"/>
    <w:basedOn w:val="Kopfzeile"/>
    <w:link w:val="PageHeaderTitleChar"/>
    <w:qFormat/>
    <w:rsid w:val="003A55B6"/>
    <w:rPr>
      <w:caps/>
      <w:color w:val="777777" w:themeColor="accent3" w:themeShade="BF"/>
      <w:sz w:val="18"/>
    </w:rPr>
  </w:style>
  <w:style w:type="character" w:customStyle="1" w:styleId="PageHeaderTitleChar">
    <w:name w:val="Page Header Title Char"/>
    <w:basedOn w:val="KopfzeileZchn"/>
    <w:link w:val="PageHeaderTitle"/>
    <w:rsid w:val="003A55B6"/>
    <w:rPr>
      <w:rFonts w:ascii="Segoe UI Light" w:hAnsi="Segoe UI Light"/>
      <w:caps/>
      <w:color w:val="777777" w:themeColor="accent3" w:themeShade="BF"/>
      <w:sz w:val="18"/>
    </w:rPr>
  </w:style>
  <w:style w:type="character" w:styleId="NichtaufgelsteErwhnung">
    <w:name w:val="Unresolved Mention"/>
    <w:basedOn w:val="Absatz-Standardschriftart"/>
    <w:uiPriority w:val="99"/>
    <w:semiHidden/>
    <w:unhideWhenUsed/>
    <w:rsid w:val="00F35DFD"/>
    <w:rPr>
      <w:color w:val="605E5C"/>
      <w:shd w:val="clear" w:color="auto" w:fill="E1DFDD"/>
    </w:rPr>
  </w:style>
  <w:style w:type="paragraph" w:customStyle="1" w:styleId="TOC">
    <w:name w:val="TOC"/>
    <w:basedOn w:val="Verzeichnis1"/>
    <w:link w:val="TOCChar"/>
    <w:qFormat/>
    <w:rsid w:val="007C4E26"/>
    <w:pPr>
      <w:tabs>
        <w:tab w:val="clear" w:pos="425"/>
        <w:tab w:val="left" w:pos="709"/>
      </w:tabs>
      <w:spacing w:before="240"/>
    </w:pPr>
  </w:style>
  <w:style w:type="character" w:customStyle="1" w:styleId="Verzeichnis1Zchn">
    <w:name w:val="Verzeichnis 1 Zchn"/>
    <w:basedOn w:val="Absatz-Standardschriftart"/>
    <w:link w:val="Verzeichnis1"/>
    <w:uiPriority w:val="39"/>
    <w:rsid w:val="00A93B0E"/>
    <w:rPr>
      <w:rFonts w:ascii="Segoe UI Light" w:hAnsi="Segoe UI Light"/>
      <w:bCs/>
      <w:color w:val="000000" w:themeColor="text1"/>
      <w:sz w:val="24"/>
      <w:szCs w:val="24"/>
    </w:rPr>
  </w:style>
  <w:style w:type="character" w:customStyle="1" w:styleId="TOCChar">
    <w:name w:val="TOC Char"/>
    <w:basedOn w:val="Verzeichnis1Zchn"/>
    <w:link w:val="TOC"/>
    <w:rsid w:val="007C4E26"/>
    <w:rPr>
      <w:rFonts w:ascii="Segoe UI Light" w:hAnsi="Segoe UI Light"/>
      <w:bCs/>
      <w:color w:val="000000" w:themeColor="text1"/>
      <w:sz w:val="24"/>
      <w:szCs w:val="24"/>
    </w:rPr>
  </w:style>
  <w:style w:type="paragraph" w:customStyle="1" w:styleId="01Title">
    <w:name w:val="01 Title"/>
    <w:basedOn w:val="03BodyText"/>
    <w:link w:val="01TitleChar"/>
    <w:qFormat/>
    <w:rsid w:val="003D2DAD"/>
    <w:pPr>
      <w:spacing w:line="240" w:lineRule="auto"/>
    </w:pPr>
    <w:rPr>
      <w:rFonts w:ascii="Segoe UI Semibold" w:hAnsi="Segoe UI Semibold" w:cs="Segoe UI Semibold"/>
      <w:color w:val="001738"/>
      <w:sz w:val="48"/>
      <w:szCs w:val="48"/>
    </w:rPr>
  </w:style>
  <w:style w:type="character" w:customStyle="1" w:styleId="01TitleChar">
    <w:name w:val="01 Title Char"/>
    <w:basedOn w:val="03BodyTextZchn"/>
    <w:link w:val="01Title"/>
    <w:rsid w:val="003D2DAD"/>
    <w:rPr>
      <w:rFonts w:ascii="Segoe UI Semibold" w:hAnsi="Segoe UI Semibold" w:cs="Segoe UI Semibold"/>
      <w:color w:val="001738"/>
      <w:sz w:val="48"/>
      <w:szCs w:val="48"/>
    </w:rPr>
  </w:style>
  <w:style w:type="paragraph" w:customStyle="1" w:styleId="Intro">
    <w:name w:val="Intro"/>
    <w:basedOn w:val="03BodyText"/>
    <w:link w:val="IntroChar"/>
    <w:qFormat/>
    <w:rsid w:val="00A27B4F"/>
    <w:rPr>
      <w:i/>
      <w:iCs/>
      <w:sz w:val="28"/>
      <w:szCs w:val="28"/>
    </w:rPr>
  </w:style>
  <w:style w:type="character" w:customStyle="1" w:styleId="IntroChar">
    <w:name w:val="Intro Char"/>
    <w:basedOn w:val="03BodyTextZchn"/>
    <w:link w:val="Intro"/>
    <w:rsid w:val="00A27B4F"/>
    <w:rPr>
      <w:rFonts w:ascii="Segoe UI Light" w:hAnsi="Segoe UI Light"/>
      <w:i/>
      <w:iCs/>
      <w:color w:val="000000" w:themeColor="text1"/>
      <w:sz w:val="28"/>
      <w:szCs w:val="28"/>
    </w:rPr>
  </w:style>
  <w:style w:type="character" w:styleId="Kommentarzeichen">
    <w:name w:val="annotation reference"/>
    <w:basedOn w:val="Absatz-Standardschriftart"/>
    <w:uiPriority w:val="99"/>
    <w:semiHidden/>
    <w:unhideWhenUsed/>
    <w:rsid w:val="00745FB6"/>
    <w:rPr>
      <w:sz w:val="16"/>
      <w:szCs w:val="16"/>
    </w:rPr>
  </w:style>
  <w:style w:type="paragraph" w:styleId="Kommentartext">
    <w:name w:val="annotation text"/>
    <w:basedOn w:val="Standard"/>
    <w:link w:val="KommentartextZchn"/>
    <w:uiPriority w:val="99"/>
    <w:unhideWhenUsed/>
    <w:rsid w:val="00745FB6"/>
    <w:pPr>
      <w:spacing w:line="240" w:lineRule="auto"/>
    </w:pPr>
    <w:rPr>
      <w:rFonts w:ascii="Segoe UI" w:eastAsiaTheme="minorEastAsia" w:hAnsi="Segoe UI"/>
      <w:sz w:val="20"/>
      <w:szCs w:val="20"/>
      <w:lang w:val="de-AT" w:eastAsia="ko-KR"/>
    </w:rPr>
  </w:style>
  <w:style w:type="character" w:customStyle="1" w:styleId="KommentartextZchn">
    <w:name w:val="Kommentartext Zchn"/>
    <w:basedOn w:val="Absatz-Standardschriftart"/>
    <w:link w:val="Kommentartext"/>
    <w:uiPriority w:val="99"/>
    <w:rsid w:val="00745FB6"/>
    <w:rPr>
      <w:rFonts w:ascii="Segoe UI" w:eastAsiaTheme="minorEastAsia" w:hAnsi="Segoe UI"/>
      <w:sz w:val="20"/>
      <w:szCs w:val="20"/>
      <w:lang w:val="de-AT" w:eastAsia="ko-KR"/>
    </w:rPr>
  </w:style>
  <w:style w:type="paragraph" w:styleId="Kommentarthema">
    <w:name w:val="annotation subject"/>
    <w:basedOn w:val="Kommentartext"/>
    <w:next w:val="Kommentartext"/>
    <w:link w:val="KommentarthemaZchn"/>
    <w:uiPriority w:val="99"/>
    <w:semiHidden/>
    <w:unhideWhenUsed/>
    <w:rsid w:val="00CD7373"/>
    <w:rPr>
      <w:rFonts w:ascii="Segoe UI Light" w:eastAsiaTheme="minorHAnsi" w:hAnsi="Segoe UI Light"/>
      <w:b/>
      <w:bCs/>
      <w:lang w:val="en-US" w:eastAsia="en-US"/>
    </w:rPr>
  </w:style>
  <w:style w:type="character" w:customStyle="1" w:styleId="KommentarthemaZchn">
    <w:name w:val="Kommentarthema Zchn"/>
    <w:basedOn w:val="KommentartextZchn"/>
    <w:link w:val="Kommentarthema"/>
    <w:uiPriority w:val="99"/>
    <w:semiHidden/>
    <w:rsid w:val="00CD7373"/>
    <w:rPr>
      <w:rFonts w:ascii="Segoe UI Light" w:eastAsiaTheme="minorEastAsia" w:hAnsi="Segoe UI Light"/>
      <w:b/>
      <w:bCs/>
      <w:sz w:val="20"/>
      <w:szCs w:val="20"/>
      <w:lang w:val="de-AT" w:eastAsia="ko-KR"/>
    </w:rPr>
  </w:style>
  <w:style w:type="paragraph" w:styleId="StandardWeb">
    <w:name w:val="Normal (Web)"/>
    <w:basedOn w:val="Standard"/>
    <w:uiPriority w:val="99"/>
    <w:semiHidden/>
    <w:unhideWhenUsed/>
    <w:rsid w:val="00022FC2"/>
    <w:rPr>
      <w:rFonts w:ascii="Times New Roman" w:hAnsi="Times New Roman" w:cs="Times New Roman"/>
      <w:sz w:val="24"/>
      <w:szCs w:val="24"/>
    </w:rPr>
  </w:style>
  <w:style w:type="character" w:styleId="Hervorhebung">
    <w:name w:val="Emphasis"/>
    <w:basedOn w:val="Absatz-Standardschriftart"/>
    <w:uiPriority w:val="20"/>
    <w:qFormat/>
    <w:rsid w:val="00A17351"/>
    <w:rPr>
      <w:i/>
      <w:iCs/>
    </w:rPr>
  </w:style>
  <w:style w:type="character" w:styleId="Fett">
    <w:name w:val="Strong"/>
    <w:basedOn w:val="Absatz-Standardschriftart"/>
    <w:uiPriority w:val="22"/>
    <w:qFormat/>
    <w:rsid w:val="00A17351"/>
    <w:rPr>
      <w:b/>
      <w:bCs/>
    </w:rPr>
  </w:style>
  <w:style w:type="paragraph" w:styleId="berarbeitung">
    <w:name w:val="Revision"/>
    <w:hidden/>
    <w:uiPriority w:val="99"/>
    <w:semiHidden/>
    <w:rsid w:val="00F552AA"/>
    <w:pPr>
      <w:spacing w:after="0" w:line="240" w:lineRule="auto"/>
    </w:pPr>
    <w:rPr>
      <w:rFonts w:ascii="Segoe UI Light" w:hAnsi="Segoe U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18679">
      <w:bodyDiv w:val="1"/>
      <w:marLeft w:val="0"/>
      <w:marRight w:val="0"/>
      <w:marTop w:val="0"/>
      <w:marBottom w:val="0"/>
      <w:divBdr>
        <w:top w:val="none" w:sz="0" w:space="0" w:color="auto"/>
        <w:left w:val="none" w:sz="0" w:space="0" w:color="auto"/>
        <w:bottom w:val="none" w:sz="0" w:space="0" w:color="auto"/>
        <w:right w:val="none" w:sz="0" w:space="0" w:color="auto"/>
      </w:divBdr>
    </w:div>
    <w:div w:id="241649085">
      <w:bodyDiv w:val="1"/>
      <w:marLeft w:val="0"/>
      <w:marRight w:val="0"/>
      <w:marTop w:val="0"/>
      <w:marBottom w:val="0"/>
      <w:divBdr>
        <w:top w:val="none" w:sz="0" w:space="0" w:color="auto"/>
        <w:left w:val="none" w:sz="0" w:space="0" w:color="auto"/>
        <w:bottom w:val="none" w:sz="0" w:space="0" w:color="auto"/>
        <w:right w:val="none" w:sz="0" w:space="0" w:color="auto"/>
      </w:divBdr>
    </w:div>
    <w:div w:id="328799044">
      <w:bodyDiv w:val="1"/>
      <w:marLeft w:val="0"/>
      <w:marRight w:val="0"/>
      <w:marTop w:val="0"/>
      <w:marBottom w:val="0"/>
      <w:divBdr>
        <w:top w:val="none" w:sz="0" w:space="0" w:color="auto"/>
        <w:left w:val="none" w:sz="0" w:space="0" w:color="auto"/>
        <w:bottom w:val="none" w:sz="0" w:space="0" w:color="auto"/>
        <w:right w:val="none" w:sz="0" w:space="0" w:color="auto"/>
      </w:divBdr>
    </w:div>
    <w:div w:id="718820806">
      <w:bodyDiv w:val="1"/>
      <w:marLeft w:val="0"/>
      <w:marRight w:val="0"/>
      <w:marTop w:val="0"/>
      <w:marBottom w:val="0"/>
      <w:divBdr>
        <w:top w:val="none" w:sz="0" w:space="0" w:color="auto"/>
        <w:left w:val="none" w:sz="0" w:space="0" w:color="auto"/>
        <w:bottom w:val="none" w:sz="0" w:space="0" w:color="auto"/>
        <w:right w:val="none" w:sz="0" w:space="0" w:color="auto"/>
      </w:divBdr>
    </w:div>
    <w:div w:id="782191357">
      <w:bodyDiv w:val="1"/>
      <w:marLeft w:val="0"/>
      <w:marRight w:val="0"/>
      <w:marTop w:val="0"/>
      <w:marBottom w:val="0"/>
      <w:divBdr>
        <w:top w:val="none" w:sz="0" w:space="0" w:color="auto"/>
        <w:left w:val="none" w:sz="0" w:space="0" w:color="auto"/>
        <w:bottom w:val="none" w:sz="0" w:space="0" w:color="auto"/>
        <w:right w:val="none" w:sz="0" w:space="0" w:color="auto"/>
      </w:divBdr>
    </w:div>
    <w:div w:id="798450163">
      <w:bodyDiv w:val="1"/>
      <w:marLeft w:val="0"/>
      <w:marRight w:val="0"/>
      <w:marTop w:val="0"/>
      <w:marBottom w:val="0"/>
      <w:divBdr>
        <w:top w:val="none" w:sz="0" w:space="0" w:color="auto"/>
        <w:left w:val="none" w:sz="0" w:space="0" w:color="auto"/>
        <w:bottom w:val="none" w:sz="0" w:space="0" w:color="auto"/>
        <w:right w:val="none" w:sz="0" w:space="0" w:color="auto"/>
      </w:divBdr>
    </w:div>
    <w:div w:id="176055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s@copadata.com"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instagram.com/copadata_insights/" TargetMode="External"/><Relationship Id="rId7" Type="http://schemas.openxmlformats.org/officeDocument/2006/relationships/settings" Target="settings.xml"/><Relationship Id="rId12" Type="http://schemas.openxmlformats.org/officeDocument/2006/relationships/hyperlink" Target="mailto:copadata@maisberger.com" TargetMode="External"/><Relationship Id="rId17" Type="http://schemas.openxmlformats.org/officeDocument/2006/relationships/hyperlink" Target="https://www.youtube.com/user/copadatavideo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padata.com/en/products/zenon-software-platform-for-industrial-automation-energy-automatio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linkedin.com/company/copa-data-headquarter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facebook.com/COPADATAHeadquart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padata.com/" TargetMode="External"/><Relationship Id="rId22" Type="http://schemas.openxmlformats.org/officeDocument/2006/relationships/image" Target="media/image4.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COPA-DATA">
      <a:dk1>
        <a:sysClr val="windowText" lastClr="000000"/>
      </a:dk1>
      <a:lt1>
        <a:sysClr val="window" lastClr="FFFFFF"/>
      </a:lt1>
      <a:dk2>
        <a:srgbClr val="44546A"/>
      </a:dk2>
      <a:lt2>
        <a:srgbClr val="E7E6E6"/>
      </a:lt2>
      <a:accent1>
        <a:srgbClr val="001B38"/>
      </a:accent1>
      <a:accent2>
        <a:srgbClr val="E64415"/>
      </a:accent2>
      <a:accent3>
        <a:srgbClr val="A0A0A0"/>
      </a:accent3>
      <a:accent4>
        <a:srgbClr val="001B38"/>
      </a:accent4>
      <a:accent5>
        <a:srgbClr val="E64415"/>
      </a:accent5>
      <a:accent6>
        <a:srgbClr val="A0A0A0"/>
      </a:accent6>
      <a:hlink>
        <a:srgbClr val="E64415"/>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9B6F701F848B4CA2649F4DA44DF506" ma:contentTypeVersion="10" ma:contentTypeDescription="Create a new document." ma:contentTypeScope="" ma:versionID="1466099f1ac41b95397ec7cf373849c1">
  <xsd:schema xmlns:xsd="http://www.w3.org/2001/XMLSchema" xmlns:xs="http://www.w3.org/2001/XMLSchema" xmlns:p="http://schemas.microsoft.com/office/2006/metadata/properties" xmlns:ns2="0fe78d9e-68cc-4ef5-97ef-f9f9ee7af26c" xmlns:ns3="5c0f893f-b276-461d-8b9c-863f94bc4615" targetNamespace="http://schemas.microsoft.com/office/2006/metadata/properties" ma:root="true" ma:fieldsID="e38f9b28d0e8a59a93d1d340c1c9042d" ns2:_="" ns3:_="">
    <xsd:import namespace="0fe78d9e-68cc-4ef5-97ef-f9f9ee7af26c"/>
    <xsd:import namespace="5c0f893f-b276-461d-8b9c-863f94bc46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78d9e-68cc-4ef5-97ef-f9f9ee7af2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ea838c-38b7-4d98-84ff-d5fbdd1a270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0f893f-b276-461d-8b9c-863f94bc46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03d9a4-a851-48de-b9b1-b388207ea09e}" ma:internalName="TaxCatchAll" ma:showField="CatchAllData" ma:web="5c0f893f-b276-461d-8b9c-863f94bc46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0f893f-b276-461d-8b9c-863f94bc4615" xsi:nil="true"/>
    <lcf76f155ced4ddcb4097134ff3c332f xmlns="0fe78d9e-68cc-4ef5-97ef-f9f9ee7af2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F32EB-7E77-4B56-8F57-0DFD445A7CEF}">
  <ds:schemaRefs>
    <ds:schemaRef ds:uri="http://schemas.microsoft.com/sharepoint/v3/contenttype/forms"/>
  </ds:schemaRefs>
</ds:datastoreItem>
</file>

<file path=customXml/itemProps2.xml><?xml version="1.0" encoding="utf-8"?>
<ds:datastoreItem xmlns:ds="http://schemas.openxmlformats.org/officeDocument/2006/customXml" ds:itemID="{F54A4A16-3139-4040-9418-68AA0E93A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78d9e-68cc-4ef5-97ef-f9f9ee7af26c"/>
    <ds:schemaRef ds:uri="5c0f893f-b276-461d-8b9c-863f94bc4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7F20FD-2508-4489-A251-B4BCB174B11F}">
  <ds:schemaRefs>
    <ds:schemaRef ds:uri="http://schemas.microsoft.com/office/2006/metadata/properties"/>
    <ds:schemaRef ds:uri="http://schemas.microsoft.com/office/infopath/2007/PartnerControls"/>
    <ds:schemaRef ds:uri="5c0f893f-b276-461d-8b9c-863f94bc4615"/>
    <ds:schemaRef ds:uri="0fe78d9e-68cc-4ef5-97ef-f9f9ee7af26c"/>
  </ds:schemaRefs>
</ds:datastoreItem>
</file>

<file path=customXml/itemProps4.xml><?xml version="1.0" encoding="utf-8"?>
<ds:datastoreItem xmlns:ds="http://schemas.openxmlformats.org/officeDocument/2006/customXml" ds:itemID="{DABE5CA8-67B1-4CA7-AB6D-9C9D4F89FBF8}">
  <ds:schemaRefs>
    <ds:schemaRef ds:uri="http://schemas.openxmlformats.org/officeDocument/2006/bibliography"/>
  </ds:schemaRefs>
</ds:datastoreItem>
</file>

<file path=docMetadata/LabelInfo.xml><?xml version="1.0" encoding="utf-8"?>
<clbl:labelList xmlns:clbl="http://schemas.microsoft.com/office/2020/mipLabelMetadata">
  <clbl:label id="{898f2969-43e2-4aa0-a4f5-ac6069317381}" enabled="0" method="" siteId="{898f2969-43e2-4aa0-a4f5-ac6069317381}"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1051</Words>
  <Characters>6626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COPA-DATA</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Inwinkl</dc:creator>
  <cp:keywords/>
  <dc:description/>
  <cp:lastModifiedBy>Samuel Inwinkl</cp:lastModifiedBy>
  <cp:revision>3</cp:revision>
  <dcterms:created xsi:type="dcterms:W3CDTF">2026-09-02T14:52:00Z</dcterms:created>
  <dcterms:modified xsi:type="dcterms:W3CDTF">2026-09-02T15:14:00Z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0x0101007B9B6F701F848B4CA2649F4DA44DF506</vt:lpwstr>
  </property>
  <property fmtid="{D5CDD505-2E9C-101B-9397-08002B2CF9AE}" pid="3" name="Topic">
    <vt:lpwstr>150;#Template|a1b26b7d-af9b-4ea9-bc13-d7cc6808b346</vt:lpwstr>
  </property>
  <property fmtid="{D5CDD505-2E9C-101B-9397-08002B2CF9AE}" pid="4" name="Application">
    <vt:lpwstr/>
  </property>
  <property fmtid="{D5CDD505-2E9C-101B-9397-08002B2CF9AE}" pid="5" name="_dlc_DocIdItemGuid">
    <vt:lpwstr>c6e1221a-0fd8-42e2-a505-d6270d85e5ac</vt:lpwstr>
  </property>
  <property fmtid="{D5CDD505-2E9C-101B-9397-08002B2CF9AE}" pid="6" name="_dlc_DocId">
    <vt:lpwstr>AZDQEJASED4H-3-376</vt:lpwstr>
  </property>
  <property fmtid="{D5CDD505-2E9C-101B-9397-08002B2CF9AE}" pid="7" name="_dlc_DocIdUrl">
    <vt:lpwstr>http://corporate.copa-data.internal/_layouts/15/DocIdRedir.aspx?ID=AZDQEJASED4H-3-376, AZDQEJASED4H-3-376</vt:lpwstr>
  </property>
  <property fmtid="{D5CDD505-2E9C-101B-9397-08002B2CF9AE}" pid="8" name="Order">
    <vt:r8>51300</vt:r8>
  </property>
  <property fmtid="{D5CDD505-2E9C-101B-9397-08002B2CF9AE}" pid="9" name="TemplateUrl">
    <vt:lpwstr/>
  </property>
  <property fmtid="{D5CDD505-2E9C-101B-9397-08002B2CF9AE}" pid="10" name="Archived">
    <vt:bool>false</vt:bool>
  </property>
  <property fmtid="{D5CDD505-2E9C-101B-9397-08002B2CF9AE}" pid="11" name="archive">
    <vt:bool>false</vt:bool>
  </property>
  <property fmtid="{D5CDD505-2E9C-101B-9397-08002B2CF9AE}" pid="12" name="xd_Signature">
    <vt:bool>false</vt:bool>
  </property>
  <property fmtid="{D5CDD505-2E9C-101B-9397-08002B2CF9AE}" pid="13" name="xd_ProgID">
    <vt:lpwstr/>
  </property>
  <property fmtid="{D5CDD505-2E9C-101B-9397-08002B2CF9AE}" pid="14" name="DocumentSetDescription">
    <vt:lpwstr/>
  </property>
  <property fmtid="{D5CDD505-2E9C-101B-9397-08002B2CF9AE}" pid="15" name="_dlc_DocIdPersistId">
    <vt:bool>false</vt:bool>
  </property>
  <property fmtid="{D5CDD505-2E9C-101B-9397-08002B2CF9AE}" pid="16" name="MediaServiceImageTags">
    <vt:lpwstr/>
  </property>
</Properties>
</file>