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CB802" w14:textId="77777777" w:rsidR="003D0F54" w:rsidRPr="003A115E" w:rsidRDefault="003D2DAD" w:rsidP="003D2DAD">
      <w:pPr>
        <w:pStyle w:val="05aHeadline2"/>
        <w:rPr>
          <w:lang w:val="de-DE"/>
        </w:rPr>
      </w:pPr>
      <w:r w:rsidRPr="003A115E">
        <w:rPr>
          <w:lang w:val="de-DE"/>
        </w:rPr>
        <w:t>Press</w:t>
      </w:r>
      <w:r w:rsidR="003A115E" w:rsidRPr="003A115E">
        <w:rPr>
          <w:lang w:val="de-DE"/>
        </w:rPr>
        <w:t>emitteilung</w:t>
      </w:r>
    </w:p>
    <w:p w14:paraId="003BEBEA" w14:textId="77777777" w:rsidR="003D2DAD" w:rsidRPr="003A115E" w:rsidRDefault="003D2DAD" w:rsidP="003D2DAD">
      <w:pPr>
        <w:pStyle w:val="03BodyText"/>
        <w:rPr>
          <w:lang w:val="de-DE"/>
        </w:rPr>
      </w:pPr>
      <w:r w:rsidRPr="003A115E">
        <w:rPr>
          <w:lang w:val="de-DE"/>
        </w:rPr>
        <w:t>Salzburg/</w:t>
      </w:r>
      <w:r w:rsidR="003A115E" w:rsidRPr="003A115E">
        <w:rPr>
          <w:lang w:val="de-DE"/>
        </w:rPr>
        <w:t>Österreich, 03.09.2026</w:t>
      </w:r>
    </w:p>
    <w:p w14:paraId="15D6128D" w14:textId="77777777" w:rsidR="003D2DAD" w:rsidRPr="003A115E" w:rsidRDefault="003A115E" w:rsidP="003D2DAD">
      <w:pPr>
        <w:pStyle w:val="01Title"/>
        <w:rPr>
          <w:b/>
          <w:bCs/>
          <w:lang w:val="de-DE"/>
        </w:rPr>
      </w:pPr>
      <w:r w:rsidRPr="003A115E">
        <w:rPr>
          <w:b/>
          <w:bCs/>
          <w:lang w:val="de-DE"/>
        </w:rPr>
        <w:t xml:space="preserve">Wachsende Windportfolios, steigende Komplexität: COPA-DATA präsentiert Unified Wind Farm SCADA auf der </w:t>
      </w:r>
      <w:proofErr w:type="spellStart"/>
      <w:r w:rsidRPr="003A115E">
        <w:rPr>
          <w:b/>
          <w:bCs/>
          <w:lang w:val="de-DE"/>
        </w:rPr>
        <w:t>WindEnergy</w:t>
      </w:r>
      <w:proofErr w:type="spellEnd"/>
      <w:r w:rsidRPr="003A115E">
        <w:rPr>
          <w:b/>
          <w:bCs/>
          <w:lang w:val="de-DE"/>
        </w:rPr>
        <w:t xml:space="preserve"> Hamburg 2026</w:t>
      </w:r>
    </w:p>
    <w:p w14:paraId="50927AF2" w14:textId="77777777" w:rsidR="003A115E" w:rsidRPr="003A115E" w:rsidRDefault="003A115E" w:rsidP="003A115E">
      <w:pPr>
        <w:pStyle w:val="Intro"/>
        <w:rPr>
          <w:lang w:val="de-DE"/>
        </w:rPr>
      </w:pPr>
      <w:r w:rsidRPr="003A115E">
        <w:rPr>
          <w:lang w:val="de-DE"/>
        </w:rPr>
        <w:t>Am Stand 350 in Halle A3 erleben Besucher Live-Demonstrationen zu Windparksteuerung, Umspannwerksautomatisierung, der Integration von Batteriespeichern sowie zur zentralen Überwachung und Steuerung ganzer Windportfolios</w:t>
      </w:r>
      <w:r w:rsidR="00C22238">
        <w:rPr>
          <w:lang w:val="de-DE"/>
        </w:rPr>
        <w:t>.</w:t>
      </w:r>
    </w:p>
    <w:p w14:paraId="1E838850" w14:textId="77777777" w:rsidR="003A115E" w:rsidRDefault="003A115E" w:rsidP="003A115E">
      <w:pPr>
        <w:pStyle w:val="03BodyText"/>
        <w:rPr>
          <w:lang w:val="de-DE"/>
        </w:rPr>
      </w:pPr>
      <w:r w:rsidRPr="003A115E">
        <w:rPr>
          <w:lang w:val="de-DE"/>
        </w:rPr>
        <w:t xml:space="preserve">Mehr Windenergie bedeutet nicht </w:t>
      </w:r>
      <w:proofErr w:type="gramStart"/>
      <w:r w:rsidRPr="003A115E">
        <w:rPr>
          <w:lang w:val="de-DE"/>
        </w:rPr>
        <w:t>einfach nur</w:t>
      </w:r>
      <w:proofErr w:type="gramEnd"/>
      <w:r w:rsidRPr="003A115E">
        <w:rPr>
          <w:lang w:val="de-DE"/>
        </w:rPr>
        <w:t xml:space="preserve"> mehr Windenergieanlagen. Mit wachsenden Portfolios, einer zunehmenden Vielfalt der Assets und steigendem Margendruck nimmt auch die betriebliche Komplexität zu. Gleichzeitig steigen die Anforderungen an Verfügbarkeit, Effizienz und Sicherheit.</w:t>
      </w:r>
      <w:r w:rsidR="00A82279">
        <w:rPr>
          <w:lang w:val="de-DE"/>
        </w:rPr>
        <w:br/>
      </w:r>
      <w:r w:rsidR="00A82279">
        <w:rPr>
          <w:lang w:val="de-DE"/>
        </w:rPr>
        <w:br/>
      </w:r>
      <w:r w:rsidRPr="003A115E">
        <w:rPr>
          <w:lang w:val="de-DE"/>
        </w:rPr>
        <w:t xml:space="preserve">Dieser operative Druck wird durch den parallelen Ausbau und die Modernisierung der europäischen Windenergieinfrastruktur weiter verstärkt. Laut </w:t>
      </w:r>
      <w:proofErr w:type="spellStart"/>
      <w:r w:rsidRPr="003A115E">
        <w:rPr>
          <w:lang w:val="de-DE"/>
        </w:rPr>
        <w:t>WindEurope</w:t>
      </w:r>
      <w:proofErr w:type="spellEnd"/>
      <w:r w:rsidRPr="003A115E">
        <w:rPr>
          <w:lang w:val="de-DE"/>
        </w:rPr>
        <w:t xml:space="preserve"> werden zwischen 2026 und 2030 voraussichtlich 151 GW neue Windenergieleistung in Europa installiert</w:t>
      </w:r>
      <w:r w:rsidR="001F245C">
        <w:rPr>
          <w:rStyle w:val="Funotenzeichen"/>
          <w:lang w:val="de-DE"/>
        </w:rPr>
        <w:footnoteReference w:id="1"/>
      </w:r>
      <w:r w:rsidRPr="003A115E">
        <w:rPr>
          <w:lang w:val="de-DE"/>
        </w:rPr>
        <w:t xml:space="preserve">. </w:t>
      </w:r>
      <w:r w:rsidR="001F245C">
        <w:rPr>
          <w:lang w:val="de-DE"/>
        </w:rPr>
        <w:t>Gleichzeitig err</w:t>
      </w:r>
      <w:r w:rsidRPr="003A115E">
        <w:rPr>
          <w:lang w:val="de-DE"/>
        </w:rPr>
        <w:t>eichen ältere Windparks das Ende ihrer ursprünglichen Förder- und Servicezeiträume. Die</w:t>
      </w:r>
      <w:r w:rsidR="001F245C">
        <w:rPr>
          <w:lang w:val="de-DE"/>
        </w:rPr>
        <w:t xml:space="preserve"> Herausforderung ist daher zweigeteilt</w:t>
      </w:r>
      <w:r w:rsidRPr="003A115E">
        <w:rPr>
          <w:lang w:val="de-DE"/>
        </w:rPr>
        <w:t>: neue Kapazitäten</w:t>
      </w:r>
      <w:r w:rsidR="001F245C">
        <w:rPr>
          <w:lang w:val="de-DE"/>
        </w:rPr>
        <w:t xml:space="preserve"> zu</w:t>
      </w:r>
      <w:r w:rsidRPr="003A115E">
        <w:rPr>
          <w:lang w:val="de-DE"/>
        </w:rPr>
        <w:t xml:space="preserve"> schaffen und </w:t>
      </w:r>
      <w:r w:rsidR="001F245C">
        <w:rPr>
          <w:lang w:val="de-DE"/>
        </w:rPr>
        <w:t xml:space="preserve">zugleich </w:t>
      </w:r>
      <w:r w:rsidRPr="003A115E">
        <w:rPr>
          <w:lang w:val="de-DE"/>
        </w:rPr>
        <w:t xml:space="preserve">bestehende Anlagen </w:t>
      </w:r>
      <w:r w:rsidR="001F245C">
        <w:rPr>
          <w:lang w:val="de-DE"/>
        </w:rPr>
        <w:t xml:space="preserve">durch Weiterbetrieb, Nachrüstung oder </w:t>
      </w:r>
      <w:proofErr w:type="spellStart"/>
      <w:r w:rsidR="001F245C">
        <w:rPr>
          <w:lang w:val="de-DE"/>
        </w:rPr>
        <w:t>Repowering</w:t>
      </w:r>
      <w:proofErr w:type="spellEnd"/>
      <w:r w:rsidR="001F245C">
        <w:rPr>
          <w:lang w:val="de-DE"/>
        </w:rPr>
        <w:t xml:space="preserve"> produktiv zu halten.</w:t>
      </w:r>
    </w:p>
    <w:p w14:paraId="37112E6B" w14:textId="77777777" w:rsidR="003D2DAD" w:rsidRPr="00A82279" w:rsidRDefault="003A115E" w:rsidP="003D2DAD">
      <w:pPr>
        <w:pStyle w:val="03BodyText"/>
        <w:rPr>
          <w:lang w:val="de-DE"/>
        </w:rPr>
      </w:pPr>
      <w:r w:rsidRPr="003A115E">
        <w:rPr>
          <w:lang w:val="de-DE"/>
        </w:rPr>
        <w:t xml:space="preserve">Vor diesem Hintergrund präsentiert </w:t>
      </w:r>
      <w:r w:rsidRPr="003A115E">
        <w:rPr>
          <w:b/>
          <w:bCs/>
          <w:lang w:val="de-DE"/>
        </w:rPr>
        <w:t>COPA-DATA</w:t>
      </w:r>
      <w:r w:rsidRPr="003A115E">
        <w:rPr>
          <w:lang w:val="de-DE"/>
        </w:rPr>
        <w:t xml:space="preserve"> auf der </w:t>
      </w:r>
      <w:proofErr w:type="spellStart"/>
      <w:r w:rsidRPr="003A115E">
        <w:rPr>
          <w:b/>
          <w:bCs/>
          <w:lang w:val="de-DE"/>
        </w:rPr>
        <w:t>WindEnergy</w:t>
      </w:r>
      <w:proofErr w:type="spellEnd"/>
      <w:r w:rsidRPr="003A115E">
        <w:rPr>
          <w:b/>
          <w:bCs/>
          <w:lang w:val="de-DE"/>
        </w:rPr>
        <w:t xml:space="preserve"> Hamburg 2026</w:t>
      </w:r>
      <w:r w:rsidRPr="003A115E">
        <w:rPr>
          <w:lang w:val="de-DE"/>
        </w:rPr>
        <w:t xml:space="preserve"> vom 22. bis 25. September </w:t>
      </w:r>
      <w:r w:rsidRPr="00A82279">
        <w:rPr>
          <w:b/>
          <w:bCs/>
          <w:lang w:val="de-DE"/>
        </w:rPr>
        <w:t>Unified Wind Farm SCADA</w:t>
      </w:r>
      <w:r w:rsidRPr="003A115E">
        <w:rPr>
          <w:lang w:val="de-DE"/>
        </w:rPr>
        <w:t>.</w:t>
      </w:r>
      <w:r w:rsidR="00A82279" w:rsidRPr="00A82279">
        <w:rPr>
          <w:color w:val="auto"/>
          <w:lang w:val="de-DE"/>
        </w:rPr>
        <w:t xml:space="preserve"> </w:t>
      </w:r>
      <w:r w:rsidR="00A82279" w:rsidRPr="00A82279">
        <w:rPr>
          <w:lang w:val="de-DE"/>
        </w:rPr>
        <w:t xml:space="preserve">Die herstellerunabhängige Lösung auf Basis der Softwareplattform </w:t>
      </w:r>
      <w:proofErr w:type="spellStart"/>
      <w:r w:rsidR="00A82279" w:rsidRPr="00A82279">
        <w:rPr>
          <w:lang w:val="de-DE"/>
        </w:rPr>
        <w:t>zenon</w:t>
      </w:r>
      <w:proofErr w:type="spellEnd"/>
      <w:r w:rsidR="00A82279" w:rsidRPr="00A82279">
        <w:rPr>
          <w:lang w:val="de-DE"/>
        </w:rPr>
        <w:t xml:space="preserve"> vereint die zentrale Überwachung und Steuerung, das Alarmmanagement, die Historisierung und das Reporting von Windenergieanlagen, </w:t>
      </w:r>
      <w:r w:rsidR="00A82279" w:rsidRPr="00A82279">
        <w:rPr>
          <w:lang w:val="de-DE"/>
        </w:rPr>
        <w:lastRenderedPageBreak/>
        <w:t>Umspannwerken, Batteriespeichern und Balance-of-Plant-Systemen</w:t>
      </w:r>
      <w:r w:rsidR="00A82279">
        <w:rPr>
          <w:lang w:val="de-DE"/>
        </w:rPr>
        <w:t xml:space="preserve">. </w:t>
      </w:r>
      <w:r w:rsidR="00A82279" w:rsidRPr="00A82279">
        <w:rPr>
          <w:lang w:val="de-DE"/>
        </w:rPr>
        <w:t>Sie eignet sich sowohl für einzelne Windparks als auch für die Verwaltung ganzer Anlagenportfolios.</w:t>
      </w:r>
    </w:p>
    <w:p w14:paraId="292E920B" w14:textId="77777777" w:rsidR="003D2DAD" w:rsidRPr="003A115E" w:rsidRDefault="003A115E" w:rsidP="003D2DAD">
      <w:pPr>
        <w:pStyle w:val="06Headline3"/>
        <w:rPr>
          <w:lang w:val="de-DE"/>
        </w:rPr>
      </w:pPr>
      <w:r w:rsidRPr="007538C5">
        <w:rPr>
          <w:lang w:val="de-AT"/>
        </w:rPr>
        <w:t>Von fragmentierten Systemen zum einheitlichen Betrieb</w:t>
      </w:r>
    </w:p>
    <w:p w14:paraId="7AA57B4C" w14:textId="77777777" w:rsidR="003A115E" w:rsidRPr="00A82279" w:rsidRDefault="00A82279" w:rsidP="003A115E">
      <w:pPr>
        <w:pStyle w:val="03BodyText"/>
        <w:rPr>
          <w:lang w:val="de-DE"/>
        </w:rPr>
      </w:pPr>
      <w:r w:rsidRPr="00A82279">
        <w:rPr>
          <w:lang w:val="de-DE"/>
        </w:rPr>
        <w:t xml:space="preserve">In Windparks kommen häufig Windenergieanlagen, Umspannwerke, Speicher und Nebenanlagen verschiedener Hersteller und Technologiegenerationen zum Einsatz. Unterschiedliche HMIs, Datenstrukturen und Kommunikationsprotokolle erschweren dabei eine einheitliche Darstellung von Betriebsdaten und Alarmen. Die Folge sind aufwendigere Fehleranalysen sowie ein höherer Schulungs- und Supportbedarf. Retrofit- und </w:t>
      </w:r>
      <w:proofErr w:type="spellStart"/>
      <w:r w:rsidRPr="00A82279">
        <w:rPr>
          <w:lang w:val="de-DE"/>
        </w:rPr>
        <w:t>Repowering</w:t>
      </w:r>
      <w:proofErr w:type="spellEnd"/>
      <w:r w:rsidRPr="00A82279">
        <w:rPr>
          <w:lang w:val="de-DE"/>
        </w:rPr>
        <w:t>-Projekte stellen zusätzliche Anforderungen an die Systemintegration. Gleichzeitig machen anspruchsvolle Offshore-Bedingungen, steigende Anforderungen an die OT-Sicherheit und die begrenzte Verfügbarkeit von Spezialwissen die Behebung von Störungen aufwendiger und kostspieliger.</w:t>
      </w:r>
      <w:r w:rsidRPr="00A82279">
        <w:rPr>
          <w:lang w:val="de-DE"/>
        </w:rPr>
        <w:br/>
      </w:r>
      <w:r>
        <w:rPr>
          <w:lang w:val="de-DE"/>
        </w:rPr>
        <w:br/>
      </w:r>
      <w:r w:rsidRPr="00A82279">
        <w:rPr>
          <w:lang w:val="de-DE"/>
        </w:rPr>
        <w:t>Die vollständige Ablösung einer etablierten Systemlandschaft ist jedoch nicht für jedes Projekt notwendig oder wirtschaftlich sinnvoll. Unified Wind Farm SCADA führt Windenergieanlagen, Umspannwerke, Speicher und Balance-of-Plant-Systeme auf einer zentralen Betriebsplattform zusammen. Bestehende Anlagen können weiterhin genutzt und neue Komponenten schrittweise integriert werden, ohne dass dadurch eine Abhängigkeit vom Ökosystem eines einzelnen Herstellers entsteht.</w:t>
      </w:r>
    </w:p>
    <w:p w14:paraId="39780181" w14:textId="77777777" w:rsidR="003A115E" w:rsidRPr="003A115E" w:rsidRDefault="00C22238" w:rsidP="003A115E">
      <w:pPr>
        <w:pStyle w:val="03BodyText"/>
        <w:rPr>
          <w:lang w:val="de-DE"/>
        </w:rPr>
      </w:pPr>
      <w:r>
        <w:rPr>
          <w:lang w:val="de-DE"/>
        </w:rPr>
        <w:t xml:space="preserve">Mit COPA-DATAs </w:t>
      </w:r>
      <w:r w:rsidR="003A115E" w:rsidRPr="003A115E">
        <w:rPr>
          <w:lang w:val="de-DE"/>
        </w:rPr>
        <w:t>Softwareplattform</w:t>
      </w:r>
      <w:r>
        <w:rPr>
          <w:lang w:val="de-DE"/>
        </w:rPr>
        <w:t xml:space="preserve"> </w:t>
      </w:r>
      <w:proofErr w:type="spellStart"/>
      <w:r>
        <w:rPr>
          <w:lang w:val="de-DE"/>
        </w:rPr>
        <w:t>zenon</w:t>
      </w:r>
      <w:proofErr w:type="spellEnd"/>
      <w:r>
        <w:rPr>
          <w:lang w:val="de-DE"/>
        </w:rPr>
        <w:t xml:space="preserve"> wird hierfür die technologische Grundlage geschaffen</w:t>
      </w:r>
      <w:r w:rsidR="003A115E" w:rsidRPr="003A115E">
        <w:rPr>
          <w:lang w:val="de-DE"/>
        </w:rPr>
        <w:t>. Ihre hardwareunabhängige und herstellerneutrale Architektur bietet Betriebs- und Engineering-Teams eine einheitliche Umgebung für heterogene Windparks. Gleichzeitig behalten Betreiber die Freiheit, Hardware und Technologien entsprechend ihren zukünftigen technischen und wirtschaftlichen Anforderungen auszuwählen.</w:t>
      </w:r>
    </w:p>
    <w:p w14:paraId="4BDE851C" w14:textId="77777777" w:rsidR="003D2DAD" w:rsidRPr="003A115E" w:rsidRDefault="003A115E" w:rsidP="003D2DAD">
      <w:pPr>
        <w:pStyle w:val="03BodyText"/>
        <w:rPr>
          <w:lang w:val="de-DE"/>
        </w:rPr>
      </w:pPr>
      <w:r w:rsidRPr="003A115E">
        <w:rPr>
          <w:i/>
          <w:iCs/>
          <w:lang w:val="de-DE"/>
        </w:rPr>
        <w:t xml:space="preserve">„Für Betreiber ist entscheidend, ihre Windparks weiterentwickeln </w:t>
      </w:r>
      <w:r w:rsidR="001F245C">
        <w:rPr>
          <w:i/>
          <w:iCs/>
          <w:lang w:val="de-DE"/>
        </w:rPr>
        <w:t xml:space="preserve">zu </w:t>
      </w:r>
      <w:r w:rsidRPr="003A115E">
        <w:rPr>
          <w:i/>
          <w:iCs/>
          <w:lang w:val="de-DE"/>
        </w:rPr>
        <w:t>können, ohne sich in eine neue Herstellerabhängigkeit zu begeben. Eine offene Softwarebasis schützt bestehende Investitionen und bewahrt die Wahlfreiheit bei zukünftigen Technologieentscheidungen. Diese Unabhängigkeit ist nicht nur technisch wichtig, sondern auch ein wesentlicher Faktor für die langfristige Wettbewerbsfähigkeit“,</w:t>
      </w:r>
      <w:r w:rsidRPr="003A115E">
        <w:rPr>
          <w:lang w:val="de-DE"/>
        </w:rPr>
        <w:t xml:space="preserve"> sagt </w:t>
      </w:r>
      <w:r w:rsidRPr="003A115E">
        <w:rPr>
          <w:b/>
          <w:bCs/>
          <w:lang w:val="de-DE"/>
        </w:rPr>
        <w:t xml:space="preserve">Stefan Hufnagl, </w:t>
      </w:r>
      <w:proofErr w:type="spellStart"/>
      <w:r w:rsidRPr="003A115E">
        <w:rPr>
          <w:b/>
          <w:bCs/>
          <w:lang w:val="de-DE"/>
        </w:rPr>
        <w:t>Specialist</w:t>
      </w:r>
      <w:proofErr w:type="spellEnd"/>
      <w:r w:rsidRPr="003A115E">
        <w:rPr>
          <w:b/>
          <w:bCs/>
          <w:lang w:val="de-DE"/>
        </w:rPr>
        <w:t xml:space="preserve"> Industry Energy, COPA-DATA Headquarters.</w:t>
      </w:r>
    </w:p>
    <w:p w14:paraId="32A55572" w14:textId="77777777" w:rsidR="003D2DAD" w:rsidRPr="003A115E" w:rsidRDefault="003A115E" w:rsidP="003D2DAD">
      <w:pPr>
        <w:pStyle w:val="06Headline3"/>
        <w:rPr>
          <w:lang w:val="en-US"/>
        </w:rPr>
      </w:pPr>
      <w:r w:rsidRPr="007538C5">
        <w:rPr>
          <w:lang w:val="en-US"/>
        </w:rPr>
        <w:t>Unified Wind Farm SCADA live erleben</w:t>
      </w:r>
    </w:p>
    <w:p w14:paraId="0BCBBAD4" w14:textId="77777777" w:rsidR="003A115E" w:rsidRPr="00073333" w:rsidRDefault="00C22238" w:rsidP="003A115E">
      <w:pPr>
        <w:pStyle w:val="03BodyText"/>
        <w:rPr>
          <w:lang w:val="de-DE"/>
        </w:rPr>
      </w:pPr>
      <w:r w:rsidRPr="00C22238">
        <w:rPr>
          <w:lang w:val="de-DE"/>
        </w:rPr>
        <w:t xml:space="preserve">Am Stand von COPA-DATA können Besucher verfolgen, wie einzelne Windenergieanlagen und Umspannwerke über die Windparksteuerung bis hin zur zentralen Überwachung und Steuerung </w:t>
      </w:r>
      <w:r w:rsidRPr="00C22238">
        <w:rPr>
          <w:lang w:val="de-DE"/>
        </w:rPr>
        <w:lastRenderedPageBreak/>
        <w:t xml:space="preserve">ganzer Portfolios eingebunden werden. </w:t>
      </w:r>
      <w:r w:rsidR="00073333" w:rsidRPr="00073333">
        <w:rPr>
          <w:lang w:val="de-DE"/>
        </w:rPr>
        <w:t>Die Demonstrationen veranschaulichen, wie sich Echtzeitwerte, Alarme und historische Informationen aus unterschiedlichen Anlagen und Standorten über ein einheitliches HMI abrufen lassen.</w:t>
      </w:r>
    </w:p>
    <w:p w14:paraId="21CB0446" w14:textId="77777777" w:rsidR="003A115E" w:rsidRPr="003A115E" w:rsidRDefault="003A115E" w:rsidP="003A115E">
      <w:pPr>
        <w:pStyle w:val="03BodyText"/>
        <w:rPr>
          <w:lang w:val="de-DE"/>
        </w:rPr>
      </w:pPr>
      <w:r w:rsidRPr="003A115E">
        <w:rPr>
          <w:lang w:val="de-DE"/>
        </w:rPr>
        <w:t>Im Mittelpunkt der Gespräche und Live-Demonstrationen stehen:</w:t>
      </w:r>
    </w:p>
    <w:p w14:paraId="046FC02F" w14:textId="77777777" w:rsidR="003A115E" w:rsidRPr="003A115E" w:rsidRDefault="003A115E" w:rsidP="003A115E">
      <w:pPr>
        <w:pStyle w:val="08BulletsLevel1"/>
        <w:rPr>
          <w:lang w:val="de-DE"/>
        </w:rPr>
      </w:pPr>
      <w:r w:rsidRPr="003A115E">
        <w:rPr>
          <w:b/>
          <w:bCs/>
          <w:lang w:val="de-DE"/>
        </w:rPr>
        <w:t>Unified Wind Farm SCADA:</w:t>
      </w:r>
      <w:r w:rsidRPr="003A115E">
        <w:rPr>
          <w:lang w:val="de-DE"/>
        </w:rPr>
        <w:t xml:space="preserve"> Zentrale Überwachung, Steuerung und Berichterst</w:t>
      </w:r>
      <w:r w:rsidR="001F245C">
        <w:rPr>
          <w:lang w:val="de-DE"/>
        </w:rPr>
        <w:t>attung</w:t>
      </w:r>
      <w:r w:rsidRPr="003A115E">
        <w:rPr>
          <w:lang w:val="de-DE"/>
        </w:rPr>
        <w:t xml:space="preserve"> </w:t>
      </w:r>
      <w:r w:rsidR="001F245C">
        <w:rPr>
          <w:lang w:val="de-DE"/>
        </w:rPr>
        <w:t xml:space="preserve">über gesamte </w:t>
      </w:r>
      <w:proofErr w:type="spellStart"/>
      <w:r w:rsidRPr="003A115E">
        <w:rPr>
          <w:lang w:val="de-DE"/>
        </w:rPr>
        <w:t>Onshore</w:t>
      </w:r>
      <w:proofErr w:type="spellEnd"/>
      <w:r w:rsidRPr="003A115E">
        <w:rPr>
          <w:lang w:val="de-DE"/>
        </w:rPr>
        <w:t>- und Offshore-Windportfolios</w:t>
      </w:r>
      <w:r w:rsidR="001F245C">
        <w:rPr>
          <w:lang w:val="de-DE"/>
        </w:rPr>
        <w:t xml:space="preserve"> hinweg -</w:t>
      </w:r>
      <w:r>
        <w:rPr>
          <w:lang w:val="de-DE"/>
        </w:rPr>
        <w:t xml:space="preserve"> </w:t>
      </w:r>
      <w:r w:rsidRPr="003A115E">
        <w:rPr>
          <w:lang w:val="de-DE"/>
        </w:rPr>
        <w:t xml:space="preserve">unabhängig vom </w:t>
      </w:r>
      <w:r w:rsidR="001F245C">
        <w:rPr>
          <w:lang w:val="de-DE"/>
        </w:rPr>
        <w:t>Anlagenhersteller</w:t>
      </w:r>
    </w:p>
    <w:p w14:paraId="4E2C7AE1" w14:textId="77777777" w:rsidR="003A115E" w:rsidRPr="007538C5" w:rsidRDefault="003A115E" w:rsidP="003A115E">
      <w:pPr>
        <w:pStyle w:val="08BulletsLevel1"/>
        <w:rPr>
          <w:lang w:val="de-AT" w:eastAsia="de-DE"/>
        </w:rPr>
      </w:pPr>
      <w:r w:rsidRPr="007538C5">
        <w:rPr>
          <w:b/>
          <w:bCs/>
          <w:lang w:val="de-AT" w:eastAsia="de-DE"/>
        </w:rPr>
        <w:t>Herstellerunabhängige Integration:</w:t>
      </w:r>
      <w:r w:rsidRPr="007538C5">
        <w:rPr>
          <w:lang w:val="de-AT" w:eastAsia="de-DE"/>
        </w:rPr>
        <w:t xml:space="preserve"> Native Unterstützung von OPC UA, IEC 61400-25, IEC 61850, DNP3 und IEC 60870 zur Anbindung von Windenergieanlagen, Umspannwerken und </w:t>
      </w:r>
      <w:r w:rsidR="001F245C" w:rsidRPr="007538C5">
        <w:rPr>
          <w:lang w:val="de-AT" w:eastAsia="de-DE"/>
        </w:rPr>
        <w:t>Hilfssystemen</w:t>
      </w:r>
    </w:p>
    <w:p w14:paraId="1B72DF3C" w14:textId="77777777" w:rsidR="003A115E" w:rsidRPr="007538C5" w:rsidRDefault="003A115E" w:rsidP="003A115E">
      <w:pPr>
        <w:pStyle w:val="08BulletsLevel1"/>
        <w:rPr>
          <w:lang w:val="de-AT" w:eastAsia="de-DE"/>
        </w:rPr>
      </w:pPr>
      <w:r w:rsidRPr="007538C5">
        <w:rPr>
          <w:b/>
          <w:bCs/>
          <w:lang w:val="de-AT" w:eastAsia="de-DE"/>
        </w:rPr>
        <w:t xml:space="preserve">Integrierte </w:t>
      </w:r>
      <w:r w:rsidR="00C22238" w:rsidRPr="00C22238">
        <w:rPr>
          <w:b/>
          <w:bCs/>
          <w:lang w:val="de-DE" w:eastAsia="de-DE"/>
        </w:rPr>
        <w:t>Umspannwerksautomatisierung</w:t>
      </w:r>
      <w:r w:rsidRPr="007538C5">
        <w:rPr>
          <w:b/>
          <w:bCs/>
          <w:lang w:val="de-AT" w:eastAsia="de-DE"/>
        </w:rPr>
        <w:t>:</w:t>
      </w:r>
      <w:r w:rsidRPr="007538C5">
        <w:rPr>
          <w:lang w:val="de-AT" w:eastAsia="de-DE"/>
        </w:rPr>
        <w:t xml:space="preserve"> SCADA und HMI für Windpark-Umspannwerke,</w:t>
      </w:r>
      <w:r w:rsidR="00791D5D" w:rsidRPr="007538C5">
        <w:rPr>
          <w:lang w:val="de-AT" w:eastAsia="de-DE"/>
        </w:rPr>
        <w:t xml:space="preserve"> </w:t>
      </w:r>
      <w:r w:rsidRPr="007538C5">
        <w:rPr>
          <w:lang w:val="de-AT" w:eastAsia="de-DE"/>
        </w:rPr>
        <w:t>mit Turbinenüberwachung und Balance-of-Plant-Daten</w:t>
      </w:r>
    </w:p>
    <w:p w14:paraId="20EABDF1" w14:textId="77777777" w:rsidR="003A115E" w:rsidRPr="007538C5" w:rsidRDefault="003A115E" w:rsidP="003A115E">
      <w:pPr>
        <w:pStyle w:val="08BulletsLevel1"/>
        <w:rPr>
          <w:lang w:val="de-AT" w:eastAsia="de-DE"/>
        </w:rPr>
      </w:pPr>
      <w:r w:rsidRPr="007538C5">
        <w:rPr>
          <w:b/>
          <w:bCs/>
          <w:lang w:val="de-AT" w:eastAsia="de-DE"/>
        </w:rPr>
        <w:t>Betriebliche Effizienz:</w:t>
      </w:r>
      <w:r w:rsidRPr="007538C5">
        <w:rPr>
          <w:lang w:val="de-AT" w:eastAsia="de-DE"/>
        </w:rPr>
        <w:t xml:space="preserve"> Zentrales Alarmmanagement, Echtzeitüberwachung und Historisierung zur Unterstützung einer schnelleren Fehleranalyse sowie einer proaktiven Betriebsführung und Instandhaltung</w:t>
      </w:r>
    </w:p>
    <w:p w14:paraId="6885826B" w14:textId="09B23739" w:rsidR="003A115E" w:rsidRPr="007538C5" w:rsidRDefault="003A115E" w:rsidP="003D2DAD">
      <w:pPr>
        <w:pStyle w:val="08BulletsLevel1"/>
        <w:rPr>
          <w:lang w:val="de-AT" w:eastAsia="de-DE"/>
        </w:rPr>
      </w:pPr>
      <w:r w:rsidRPr="007538C5">
        <w:rPr>
          <w:b/>
          <w:bCs/>
          <w:lang w:val="de-AT" w:eastAsia="de-DE"/>
        </w:rPr>
        <w:t>Effizientes Engineering:</w:t>
      </w:r>
      <w:r w:rsidRPr="007538C5">
        <w:rPr>
          <w:lang w:val="de-AT" w:eastAsia="de-DE"/>
        </w:rPr>
        <w:t xml:space="preserve"> Wiederverwendbare Vorlagen, Bibliotheken und standardisierte Projektstrukturen, die den Konfigurationsaufwand </w:t>
      </w:r>
      <w:r w:rsidR="00791D5D" w:rsidRPr="007538C5">
        <w:rPr>
          <w:lang w:val="de-AT" w:eastAsia="de-DE"/>
        </w:rPr>
        <w:t>reduzieren</w:t>
      </w:r>
      <w:r w:rsidRPr="007538C5">
        <w:rPr>
          <w:lang w:val="de-AT" w:eastAsia="de-DE"/>
        </w:rPr>
        <w:t xml:space="preserve">, eine schnellere Inbetriebnahme unterstützen und </w:t>
      </w:r>
      <w:r w:rsidR="00791D5D" w:rsidRPr="007538C5">
        <w:rPr>
          <w:lang w:val="de-AT" w:eastAsia="de-DE"/>
        </w:rPr>
        <w:t xml:space="preserve">über große Flotten hinweg skalierbar sind </w:t>
      </w:r>
      <w:r w:rsidR="00DE2592" w:rsidRPr="007538C5">
        <w:rPr>
          <w:lang w:val="de-AT" w:eastAsia="de-DE"/>
        </w:rPr>
        <w:br/>
      </w:r>
    </w:p>
    <w:p w14:paraId="64E921BA" w14:textId="77777777" w:rsidR="003D2DAD" w:rsidRPr="007538C5" w:rsidRDefault="003A115E" w:rsidP="003D2DAD">
      <w:pPr>
        <w:pStyle w:val="03BodyText"/>
        <w:rPr>
          <w:lang w:val="de-AT"/>
        </w:rPr>
      </w:pPr>
      <w:r w:rsidRPr="007538C5">
        <w:rPr>
          <w:i/>
          <w:iCs/>
          <w:lang w:val="de-AT"/>
        </w:rPr>
        <w:t>„</w:t>
      </w:r>
      <w:r w:rsidR="00791D5D" w:rsidRPr="00791D5D">
        <w:rPr>
          <w:i/>
          <w:iCs/>
          <w:lang w:val="de-DE"/>
        </w:rPr>
        <w:t>Heute verbringen Betriebs- und Instandhaltungsteams häufig wertvolle Zeit damit, Informationen aus separaten Herstellersystemen zusammenzutragen</w:t>
      </w:r>
      <w:r w:rsidRPr="007538C5">
        <w:rPr>
          <w:lang w:val="de-AT"/>
        </w:rPr>
        <w:t xml:space="preserve">“, sagt </w:t>
      </w:r>
      <w:r w:rsidRPr="007538C5">
        <w:rPr>
          <w:b/>
          <w:bCs/>
          <w:lang w:val="de-AT"/>
        </w:rPr>
        <w:t>Jürgen Resch, Director Industry Management Energy, COPA-DATA Headquarters</w:t>
      </w:r>
      <w:r w:rsidRPr="007538C5">
        <w:rPr>
          <w:lang w:val="de-AT"/>
        </w:rPr>
        <w:t>. „</w:t>
      </w:r>
      <w:r w:rsidRPr="007538C5">
        <w:rPr>
          <w:i/>
          <w:iCs/>
          <w:lang w:val="de-AT"/>
        </w:rPr>
        <w:t xml:space="preserve">Unified Wind Farm SCADA mit zenon </w:t>
      </w:r>
      <w:r w:rsidR="009F0B1D" w:rsidRPr="007538C5">
        <w:rPr>
          <w:i/>
          <w:iCs/>
          <w:lang w:val="de-AT"/>
        </w:rPr>
        <w:t xml:space="preserve">bündelt </w:t>
      </w:r>
      <w:r w:rsidRPr="007538C5">
        <w:rPr>
          <w:i/>
          <w:iCs/>
          <w:lang w:val="de-AT"/>
        </w:rPr>
        <w:t xml:space="preserve">Live-Werte, Alarme und historische Daten von Windenergieanlagen, Umspannwerken, Speichern und Nebenanlagen in einem einheitlichen betrieblichen Kontext. Dadurch können Teams Alarme über Systemgrenzen hinweg korrelieren, Fehlerursachen schneller identifizieren und den manuellen Aufwand sowie das Fehlerrisiko reduzieren. Wiederverwendbare Engineering-Strukturen erleichtern </w:t>
      </w:r>
      <w:r w:rsidR="00791D5D" w:rsidRPr="007538C5">
        <w:rPr>
          <w:i/>
          <w:iCs/>
          <w:lang w:val="de-AT"/>
        </w:rPr>
        <w:t xml:space="preserve">es außerdem, </w:t>
      </w:r>
      <w:r w:rsidRPr="007538C5">
        <w:rPr>
          <w:i/>
          <w:iCs/>
          <w:lang w:val="de-AT"/>
        </w:rPr>
        <w:t>Lösungen</w:t>
      </w:r>
      <w:r w:rsidR="00791D5D" w:rsidRPr="007538C5">
        <w:rPr>
          <w:i/>
          <w:iCs/>
          <w:lang w:val="de-AT"/>
        </w:rPr>
        <w:t xml:space="preserve"> zu standardisieren</w:t>
      </w:r>
      <w:r w:rsidRPr="007538C5">
        <w:rPr>
          <w:i/>
          <w:iCs/>
          <w:lang w:val="de-AT"/>
        </w:rPr>
        <w:t xml:space="preserve"> und </w:t>
      </w:r>
      <w:r w:rsidR="00791D5D" w:rsidRPr="007538C5">
        <w:rPr>
          <w:i/>
          <w:iCs/>
          <w:lang w:val="de-AT"/>
        </w:rPr>
        <w:t xml:space="preserve">über gesamte </w:t>
      </w:r>
      <w:r w:rsidRPr="007538C5">
        <w:rPr>
          <w:i/>
          <w:iCs/>
          <w:lang w:val="de-AT"/>
        </w:rPr>
        <w:t>Windportfolios</w:t>
      </w:r>
      <w:r w:rsidR="00791D5D" w:rsidRPr="007538C5">
        <w:rPr>
          <w:i/>
          <w:iCs/>
          <w:lang w:val="de-AT"/>
        </w:rPr>
        <w:t xml:space="preserve"> hinweg zu skalieren</w:t>
      </w:r>
      <w:r w:rsidRPr="007538C5">
        <w:rPr>
          <w:i/>
          <w:iCs/>
          <w:lang w:val="de-AT"/>
        </w:rPr>
        <w:t>. Das Ergebnis: weniger Zeitaufwand für die Navigation zwischen Systemen und mehr Zeit für die Optimierung des Betriebs.“.</w:t>
      </w:r>
    </w:p>
    <w:p w14:paraId="5EBFDB1F" w14:textId="77777777" w:rsidR="00C22238" w:rsidRPr="007538C5" w:rsidRDefault="00C22238" w:rsidP="003D2DAD">
      <w:pPr>
        <w:pStyle w:val="03BodyText"/>
        <w:rPr>
          <w:lang w:val="de-AT"/>
        </w:rPr>
      </w:pPr>
    </w:p>
    <w:p w14:paraId="01462C73" w14:textId="77777777" w:rsidR="00C22238" w:rsidRPr="007538C5" w:rsidRDefault="00C22238" w:rsidP="003D2DAD">
      <w:pPr>
        <w:pStyle w:val="03BodyText"/>
        <w:rPr>
          <w:lang w:val="de-AT"/>
        </w:rPr>
      </w:pPr>
    </w:p>
    <w:p w14:paraId="7C23F8BD" w14:textId="77777777" w:rsidR="00C22238" w:rsidRPr="007538C5" w:rsidRDefault="00C22238" w:rsidP="003D2DAD">
      <w:pPr>
        <w:pStyle w:val="03BodyText"/>
        <w:rPr>
          <w:lang w:val="de-AT"/>
        </w:rPr>
      </w:pPr>
    </w:p>
    <w:p w14:paraId="0B0A5703" w14:textId="77777777" w:rsidR="003D2DAD" w:rsidRPr="007538C5" w:rsidRDefault="003A115E" w:rsidP="003D2DAD">
      <w:pPr>
        <w:pStyle w:val="06Headline3"/>
        <w:rPr>
          <w:lang w:val="de-AT"/>
        </w:rPr>
      </w:pPr>
      <w:r w:rsidRPr="007538C5">
        <w:rPr>
          <w:lang w:val="de-AT"/>
        </w:rPr>
        <w:t>Die Energy Landscape 2026 entdecken</w:t>
      </w:r>
    </w:p>
    <w:p w14:paraId="26B8BFC5" w14:textId="77777777" w:rsidR="003A115E" w:rsidRPr="00834C89" w:rsidRDefault="00B92137" w:rsidP="00834C89">
      <w:pPr>
        <w:pStyle w:val="TOC"/>
        <w:rPr>
          <w:lang w:val="de-DE"/>
        </w:rPr>
      </w:pPr>
      <w:r w:rsidRPr="007538C5">
        <w:rPr>
          <w:lang w:val="de-AT"/>
        </w:rPr>
        <w:t>Im</w:t>
      </w:r>
      <w:r w:rsidR="00834C89" w:rsidRPr="00834C89">
        <w:rPr>
          <w:lang w:val="de-DE"/>
        </w:rPr>
        <w:t xml:space="preserve"> Rahmen der Energy Landscape 2026</w:t>
      </w:r>
      <w:r>
        <w:rPr>
          <w:lang w:val="de-DE"/>
        </w:rPr>
        <w:t xml:space="preserve"> werden folgende</w:t>
      </w:r>
      <w:r w:rsidR="00834C89" w:rsidRPr="00834C89">
        <w:rPr>
          <w:lang w:val="de-DE"/>
        </w:rPr>
        <w:t xml:space="preserve"> weitere Anwendungen </w:t>
      </w:r>
      <w:r>
        <w:rPr>
          <w:lang w:val="de-DE"/>
        </w:rPr>
        <w:t xml:space="preserve">live </w:t>
      </w:r>
      <w:r w:rsidR="00834C89">
        <w:rPr>
          <w:lang w:val="de-DE"/>
        </w:rPr>
        <w:t>präsentiert</w:t>
      </w:r>
      <w:r>
        <w:rPr>
          <w:lang w:val="de-DE"/>
        </w:rPr>
        <w:t>:</w:t>
      </w:r>
      <w:r w:rsidR="00834C89" w:rsidRPr="00834C89">
        <w:rPr>
          <w:lang w:val="de-DE"/>
        </w:rPr>
        <w:br/>
      </w:r>
    </w:p>
    <w:p w14:paraId="18A1AC74" w14:textId="77777777" w:rsidR="00834C89" w:rsidRPr="007538C5" w:rsidRDefault="00834C89" w:rsidP="00834C89">
      <w:pPr>
        <w:pStyle w:val="08BulletsLevel1"/>
        <w:rPr>
          <w:lang w:val="de-AT"/>
        </w:rPr>
      </w:pPr>
      <w:r w:rsidRPr="007538C5">
        <w:rPr>
          <w:b/>
          <w:bCs/>
          <w:lang w:val="de-AT"/>
        </w:rPr>
        <w:t>Windenergie:</w:t>
      </w:r>
      <w:r w:rsidRPr="007538C5">
        <w:rPr>
          <w:lang w:val="de-AT"/>
        </w:rPr>
        <w:t xml:space="preserve"> </w:t>
      </w:r>
      <w:r w:rsidR="00791D5D" w:rsidRPr="00791D5D">
        <w:rPr>
          <w:lang w:val="de-DE"/>
        </w:rPr>
        <w:t>Unified Wind Farm SCADA, Turbinenüberwachung und Windparkregelung, Management von Offshore-Plattformen</w:t>
      </w:r>
    </w:p>
    <w:p w14:paraId="0D61A759" w14:textId="77777777" w:rsidR="00834C89" w:rsidRPr="007538C5" w:rsidRDefault="00791D5D" w:rsidP="00834C89">
      <w:pPr>
        <w:pStyle w:val="08BulletsLevel1"/>
        <w:rPr>
          <w:lang w:val="de-AT"/>
        </w:rPr>
      </w:pPr>
      <w:r w:rsidRPr="007538C5">
        <w:rPr>
          <w:b/>
          <w:bCs/>
          <w:lang w:val="de-AT"/>
        </w:rPr>
        <w:t>U</w:t>
      </w:r>
      <w:proofErr w:type="spellStart"/>
      <w:r w:rsidRPr="00791D5D">
        <w:rPr>
          <w:b/>
          <w:bCs/>
          <w:lang w:val="de-DE"/>
        </w:rPr>
        <w:t>mspannwerks</w:t>
      </w:r>
      <w:proofErr w:type="spellEnd"/>
      <w:r w:rsidRPr="00791D5D">
        <w:rPr>
          <w:b/>
          <w:bCs/>
          <w:lang w:val="de-DE"/>
        </w:rPr>
        <w:t>- und Netzautomatisierung:</w:t>
      </w:r>
      <w:r w:rsidRPr="00791D5D">
        <w:rPr>
          <w:lang w:val="de-DE"/>
        </w:rPr>
        <w:t xml:space="preserve"> Umspannwerksautomatisierung, Lösungen auf Stationsebene: Umspannwerks-HMI und Gateway, Situational Awareness und erweiterte Befehlsverarbeitung, Netzleitstellenlösungen</w:t>
      </w:r>
    </w:p>
    <w:p w14:paraId="765DC690" w14:textId="77777777" w:rsidR="00791D5D" w:rsidRDefault="00791D5D" w:rsidP="00791D5D">
      <w:pPr>
        <w:pStyle w:val="08BulletsLevel1"/>
        <w:rPr>
          <w:lang w:val="de-DE"/>
        </w:rPr>
      </w:pPr>
      <w:r w:rsidRPr="00791D5D">
        <w:rPr>
          <w:b/>
          <w:bCs/>
          <w:lang w:val="de-DE"/>
        </w:rPr>
        <w:t xml:space="preserve">Erneuerbare Energieerzeugung und Speicherung: </w:t>
      </w:r>
      <w:r w:rsidRPr="00791D5D">
        <w:rPr>
          <w:lang w:val="de-DE"/>
        </w:rPr>
        <w:t>Hybride erneuerbare Energiesysteme, Photovoltaik-Großanlagen und Batteriespeichersysteme, Netzanbindung</w:t>
      </w:r>
    </w:p>
    <w:p w14:paraId="06977C3A" w14:textId="77777777" w:rsidR="00834C89" w:rsidRPr="00791D5D" w:rsidRDefault="00791D5D" w:rsidP="00791D5D">
      <w:pPr>
        <w:pStyle w:val="08BulletsLevel1"/>
        <w:rPr>
          <w:lang w:val="de-DE"/>
        </w:rPr>
      </w:pPr>
      <w:r w:rsidRPr="00791D5D">
        <w:rPr>
          <w:b/>
          <w:bCs/>
          <w:color w:val="auto"/>
          <w:lang w:val="de-DE"/>
        </w:rPr>
        <w:t xml:space="preserve"> </w:t>
      </w:r>
      <w:r w:rsidRPr="00791D5D">
        <w:rPr>
          <w:b/>
          <w:bCs/>
          <w:lang w:val="de-DE"/>
        </w:rPr>
        <w:t xml:space="preserve">Zukunftssichere Lösungsarchitekturen: </w:t>
      </w:r>
      <w:r w:rsidRPr="00791D5D">
        <w:rPr>
          <w:lang w:val="de-DE"/>
        </w:rPr>
        <w:t>Plattformunabhängige Bereitstellung und Virtualisierung, IT/OT-Integration, Cybersicherheit, IIoT</w:t>
      </w:r>
    </w:p>
    <w:p w14:paraId="7C855E8F" w14:textId="77777777" w:rsidR="00834C89" w:rsidRPr="00073333" w:rsidRDefault="00073333" w:rsidP="00FA0BE6">
      <w:pPr>
        <w:pStyle w:val="04Headline1"/>
        <w:numPr>
          <w:ilvl w:val="0"/>
          <w:numId w:val="0"/>
        </w:numPr>
        <w:ind w:left="357" w:hanging="357"/>
        <w:rPr>
          <w:b/>
          <w:bCs/>
          <w:sz w:val="24"/>
          <w:szCs w:val="24"/>
          <w:lang w:val="de-DE"/>
        </w:rPr>
      </w:pPr>
      <w:r w:rsidRPr="00073333">
        <w:rPr>
          <w:b/>
          <w:bCs/>
          <w:sz w:val="24"/>
          <w:szCs w:val="24"/>
          <w:lang w:val="de-DE"/>
        </w:rPr>
        <w:t>Windparkmodernisierung im Gespräch mit den Experten von COPA-DATA</w:t>
      </w:r>
    </w:p>
    <w:p w14:paraId="23899B92" w14:textId="77777777" w:rsidR="003A115E" w:rsidRPr="00834C89" w:rsidRDefault="00073333" w:rsidP="00791D5D">
      <w:pPr>
        <w:pStyle w:val="TOC"/>
        <w:rPr>
          <w:lang w:val="de-DE"/>
        </w:rPr>
      </w:pPr>
      <w:r w:rsidRPr="00073333">
        <w:rPr>
          <w:lang w:val="de-DE"/>
        </w:rPr>
        <w:t xml:space="preserve">Während der </w:t>
      </w:r>
      <w:proofErr w:type="spellStart"/>
      <w:r w:rsidRPr="00073333">
        <w:rPr>
          <w:lang w:val="de-DE"/>
        </w:rPr>
        <w:t>WindEnergy</w:t>
      </w:r>
      <w:proofErr w:type="spellEnd"/>
      <w:r w:rsidRPr="00073333">
        <w:rPr>
          <w:lang w:val="de-DE"/>
        </w:rPr>
        <w:t xml:space="preserve"> Hamburg 2026 stehen die Experten für Energieautomatisierung von COPA-DATA für Gespräche über praxisorientierte Modernisierungsstrategien zur Verfügung. Im Mittelpunkt </w:t>
      </w:r>
      <w:proofErr w:type="gramStart"/>
      <w:r w:rsidRPr="00073333">
        <w:rPr>
          <w:lang w:val="de-DE"/>
        </w:rPr>
        <w:t>stehen</w:t>
      </w:r>
      <w:proofErr w:type="gramEnd"/>
      <w:r w:rsidRPr="00073333">
        <w:rPr>
          <w:lang w:val="de-DE"/>
        </w:rPr>
        <w:t xml:space="preserve"> der Betrieb heterogener Windportfolios, die Integration von Anlagen verschiedener Hersteller sowie die Modernisierung von Windparks und Umspannwerken. Weitere Themen sind die Planung von Retrofit- und </w:t>
      </w:r>
      <w:proofErr w:type="spellStart"/>
      <w:r w:rsidRPr="00073333">
        <w:rPr>
          <w:lang w:val="de-DE"/>
        </w:rPr>
        <w:t>Repowering</w:t>
      </w:r>
      <w:proofErr w:type="spellEnd"/>
      <w:r w:rsidRPr="00073333">
        <w:rPr>
          <w:lang w:val="de-DE"/>
        </w:rPr>
        <w:t>-Projekten, die Einbindung von Batteriespeichern und hybriden Energiesystemen, eine höhere betriebliche Transparenz und die standortübergreifende Standardisierung des Engineerings.</w:t>
      </w:r>
      <w:r w:rsidR="00791D5D">
        <w:rPr>
          <w:lang w:val="de-DE"/>
        </w:rPr>
        <w:br/>
      </w:r>
      <w:r w:rsidR="00791D5D">
        <w:rPr>
          <w:lang w:val="de-DE"/>
        </w:rPr>
        <w:br/>
      </w:r>
      <w:r w:rsidR="00791D5D">
        <w:rPr>
          <w:lang w:val="de-DE"/>
        </w:rPr>
        <w:br/>
      </w:r>
      <w:r w:rsidR="00834C89" w:rsidRPr="00791D5D">
        <w:rPr>
          <w:rStyle w:val="04Headline1Char"/>
          <w:sz w:val="24"/>
          <w:szCs w:val="24"/>
          <w:lang w:val="de-DE"/>
        </w:rPr>
        <w:t xml:space="preserve">Besuchen Sie COPA-DATA vom 22. bis 25. September 2026 auf der </w:t>
      </w:r>
      <w:proofErr w:type="spellStart"/>
      <w:r w:rsidR="00834C89" w:rsidRPr="00791D5D">
        <w:rPr>
          <w:rStyle w:val="04Headline1Char"/>
          <w:sz w:val="24"/>
          <w:szCs w:val="24"/>
          <w:lang w:val="de-DE"/>
        </w:rPr>
        <w:t>WindEnergy</w:t>
      </w:r>
      <w:proofErr w:type="spellEnd"/>
      <w:r w:rsidR="00834C89" w:rsidRPr="00791D5D">
        <w:rPr>
          <w:rStyle w:val="04Headline1Char"/>
          <w:sz w:val="24"/>
          <w:szCs w:val="24"/>
          <w:lang w:val="de-DE"/>
        </w:rPr>
        <w:t xml:space="preserve"> Hamburg am Stand 350 in Halle A3 der Hamburg Messe.</w:t>
      </w:r>
    </w:p>
    <w:p w14:paraId="7122012F" w14:textId="77777777" w:rsidR="003D2DAD" w:rsidRPr="007538C5" w:rsidRDefault="00C22238" w:rsidP="003D2DAD">
      <w:pPr>
        <w:pStyle w:val="04Headline1"/>
        <w:numPr>
          <w:ilvl w:val="0"/>
          <w:numId w:val="0"/>
        </w:numPr>
        <w:ind w:left="357" w:hanging="357"/>
        <w:rPr>
          <w:lang w:val="de-AT"/>
        </w:rPr>
      </w:pPr>
      <w:r w:rsidRPr="007538C5">
        <w:rPr>
          <w:lang w:val="de-AT"/>
        </w:rPr>
        <w:lastRenderedPageBreak/>
        <w:t xml:space="preserve">ÜBER </w:t>
      </w:r>
      <w:r w:rsidR="003D2DAD" w:rsidRPr="007538C5">
        <w:rPr>
          <w:lang w:val="de-AT"/>
        </w:rPr>
        <w:t>COPA-DATA</w:t>
      </w:r>
    </w:p>
    <w:p w14:paraId="40945D6A" w14:textId="77777777" w:rsidR="00C22238" w:rsidRPr="00DE2592" w:rsidRDefault="00DE2592" w:rsidP="00745FB6">
      <w:pPr>
        <w:pStyle w:val="06Headline3"/>
        <w:rPr>
          <w:rFonts w:ascii="Segoe UI Light" w:eastAsiaTheme="minorHAnsi" w:hAnsi="Segoe UI Light" w:cstheme="minorBidi"/>
          <w:color w:val="000000" w:themeColor="text1"/>
          <w:sz w:val="22"/>
          <w:szCs w:val="22"/>
          <w:lang w:val="de-DE"/>
        </w:rPr>
      </w:pPr>
      <w:r w:rsidRPr="00DE2592">
        <w:rPr>
          <w:rFonts w:ascii="Segoe UI Light" w:eastAsiaTheme="minorHAnsi" w:hAnsi="Segoe UI Light" w:cstheme="minorBidi"/>
          <w:color w:val="000000" w:themeColor="text1"/>
          <w:sz w:val="22"/>
          <w:szCs w:val="22"/>
          <w:lang w:val="de-DE"/>
        </w:rPr>
        <w:t xml:space="preserve">COPA-DATA ist ein unabhängiger Softwarehersteller im Bereich Digitalisierung der Fertigungsindustrie und Energiewirtschaft. Mit der Softwareplattform </w:t>
      </w:r>
      <w:proofErr w:type="spellStart"/>
      <w:r w:rsidRPr="00DE2592">
        <w:rPr>
          <w:rFonts w:ascii="Segoe UI Light" w:eastAsiaTheme="minorHAnsi" w:hAnsi="Segoe UI Light" w:cstheme="minorBidi"/>
          <w:color w:val="000000" w:themeColor="text1"/>
          <w:sz w:val="22"/>
          <w:szCs w:val="22"/>
          <w:lang w:val="de-DE"/>
        </w:rPr>
        <w:t>zenon</w:t>
      </w:r>
      <w:proofErr w:type="spellEnd"/>
      <w:r w:rsidRPr="00DE2592">
        <w:rPr>
          <w:rFonts w:ascii="Segoe UI Light" w:eastAsiaTheme="minorHAnsi" w:hAnsi="Segoe UI Light" w:cstheme="minorBidi"/>
          <w:color w:val="000000" w:themeColor="text1"/>
          <w:sz w:val="22"/>
          <w:szCs w:val="22"/>
          <w:lang w:val="de-DE"/>
        </w:rPr>
        <w:t>® werden weltweit Maschinen, Anlagen, Gebäude und Stromnetze automatisiert, gesteuert, überwacht, vernetzt und optimiert. COPA-DATA kombiniert jahrzehntelange Erfahrung in der Automatisierung mit den Möglichkeiten der digitalen Transformation und einem starken Antrieb für Lösungen, die mehr Nachhaltigkeit erzielen. Dadurch unterstützt das Unternehmen seine Kunden dabei, ihre Ziele einfacher, schneller und effizienter zu erreichen.</w:t>
      </w:r>
    </w:p>
    <w:p w14:paraId="16D0705F" w14:textId="77777777" w:rsidR="00470C61" w:rsidRPr="00C22238" w:rsidRDefault="00C22238" w:rsidP="00745FB6">
      <w:pPr>
        <w:pStyle w:val="06Headline3"/>
        <w:rPr>
          <w:lang w:val="de-DE"/>
        </w:rPr>
      </w:pPr>
      <w:r w:rsidRPr="00C22238">
        <w:rPr>
          <w:lang w:val="de-DE"/>
        </w:rPr>
        <w:t>Sie benötigen mehr I</w:t>
      </w:r>
      <w:r>
        <w:rPr>
          <w:lang w:val="de-DE"/>
        </w:rPr>
        <w:t>nformationen?</w:t>
      </w:r>
    </w:p>
    <w:p w14:paraId="55739D37" w14:textId="77777777" w:rsidR="00C938B1" w:rsidRPr="007538C5" w:rsidRDefault="00C938B1" w:rsidP="00C938B1">
      <w:pPr>
        <w:pStyle w:val="06Headline3"/>
        <w:rPr>
          <w:lang w:val="de-AT"/>
        </w:rPr>
      </w:pPr>
      <w:r w:rsidRPr="007538C5">
        <w:rPr>
          <w:lang w:val="de-AT"/>
        </w:rPr>
        <w:t xml:space="preserve">COPA-DATA </w:t>
      </w:r>
    </w:p>
    <w:p w14:paraId="4F63235E" w14:textId="77777777" w:rsidR="00470C61" w:rsidRPr="007538C5" w:rsidRDefault="00470C61" w:rsidP="00745FB6">
      <w:pPr>
        <w:rPr>
          <w:lang w:val="de-AT"/>
        </w:rPr>
      </w:pPr>
      <w:r w:rsidRPr="007538C5">
        <w:rPr>
          <w:lang w:val="de-AT"/>
        </w:rPr>
        <w:t xml:space="preserve">Ing. Punzenberger </w:t>
      </w:r>
      <w:r w:rsidRPr="007538C5">
        <w:rPr>
          <w:rStyle w:val="03BodyTextZchn"/>
          <w:lang w:val="de-AT"/>
        </w:rPr>
        <w:t>COPA</w:t>
      </w:r>
      <w:r w:rsidRPr="007538C5">
        <w:rPr>
          <w:lang w:val="de-AT"/>
        </w:rPr>
        <w:t>-DATA GmbH</w:t>
      </w:r>
      <w:r w:rsidRPr="007538C5">
        <w:rPr>
          <w:lang w:val="de-AT"/>
        </w:rPr>
        <w:br/>
        <w:t>COPA-DATA Headquarters</w:t>
      </w:r>
      <w:r w:rsidRPr="007538C5">
        <w:rPr>
          <w:lang w:val="de-AT"/>
        </w:rPr>
        <w:br/>
        <w:t>Karolingerstrasse 7B</w:t>
      </w:r>
      <w:r w:rsidRPr="007538C5">
        <w:rPr>
          <w:lang w:val="de-AT"/>
        </w:rPr>
        <w:br/>
        <w:t>5020 Salzburg</w:t>
      </w:r>
      <w:r w:rsidRPr="007538C5">
        <w:rPr>
          <w:lang w:val="de-AT"/>
        </w:rPr>
        <w:br/>
        <w:t>Austria</w:t>
      </w:r>
    </w:p>
    <w:p w14:paraId="2950A591" w14:textId="77777777" w:rsidR="00E45598" w:rsidRPr="007538C5" w:rsidRDefault="00E45598" w:rsidP="00E45598">
      <w:pPr>
        <w:rPr>
          <w:lang w:val="de-AT"/>
        </w:rPr>
      </w:pPr>
      <w:hyperlink r:id="rId11" w:history="1">
        <w:r w:rsidRPr="007538C5">
          <w:rPr>
            <w:rStyle w:val="Hyperlink"/>
            <w:lang w:val="de-AT"/>
          </w:rPr>
          <w:t>press@copadata.com</w:t>
        </w:r>
      </w:hyperlink>
      <w:r w:rsidRPr="007538C5">
        <w:rPr>
          <w:lang w:val="de-AT"/>
        </w:rPr>
        <w:t xml:space="preserve"> </w:t>
      </w:r>
    </w:p>
    <w:p w14:paraId="15EC6C0B" w14:textId="77777777" w:rsidR="00470C61" w:rsidRPr="007538C5" w:rsidRDefault="00470C61" w:rsidP="00745FB6">
      <w:pPr>
        <w:pStyle w:val="03BodyText"/>
        <w:spacing w:after="120"/>
        <w:rPr>
          <w:rFonts w:cs="Segoe UI Light"/>
          <w:color w:val="E64415" w:themeColor="accent2"/>
          <w:lang w:val="de-AT"/>
        </w:rPr>
      </w:pPr>
      <w:hyperlink r:id="rId12" w:history="1">
        <w:r w:rsidRPr="007538C5">
          <w:rPr>
            <w:rStyle w:val="Hyperlink"/>
            <w:rFonts w:cs="Segoe UI Light"/>
            <w:lang w:val="de-AT"/>
          </w:rPr>
          <w:t>www.copadata.com</w:t>
        </w:r>
      </w:hyperlink>
    </w:p>
    <w:p w14:paraId="29F99699" w14:textId="77777777" w:rsidR="00470C61" w:rsidRPr="003D2DAD" w:rsidRDefault="00470C61" w:rsidP="00745FB6">
      <w:pPr>
        <w:pStyle w:val="03BodyText"/>
        <w:rPr>
          <w:rFonts w:ascii="Segoe UI Semibold" w:hAnsi="Segoe UI Semibold" w:cs="Segoe UI Semibold"/>
        </w:rPr>
      </w:pPr>
      <w:r>
        <w:rPr>
          <w:rFonts w:ascii="Segoe UI Semibold" w:hAnsi="Segoe UI Semibold" w:cs="Segoe UI Semibold"/>
          <w:noProof/>
        </w:rPr>
        <w:drawing>
          <wp:inline distT="0" distB="0" distL="0" distR="0" wp14:anchorId="512E320E" wp14:editId="744321F1">
            <wp:extent cx="180000" cy="180000"/>
            <wp:effectExtent l="0" t="0" r="0" b="0"/>
            <wp:docPr id="1914035685" name="Picture 1" descr="A white letter on a grey background&#10;&#10;AI-generated content may be incorrect.">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944028" name="Picture 1" descr="A white letter on a grey background&#10;&#10;AI-generated content may be incorrect.">
                      <a:hlinkClick r:id="rId13"/>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r>
        <w:rPr>
          <w:rFonts w:ascii="Segoe UI Semibold" w:hAnsi="Segoe UI Semibold" w:cs="Segoe UI Semibold"/>
        </w:rPr>
        <w:t xml:space="preserve"> </w:t>
      </w:r>
      <w:r>
        <w:rPr>
          <w:rFonts w:ascii="Segoe UI Semibold" w:hAnsi="Segoe UI Semibold" w:cs="Segoe UI Semibold"/>
          <w:noProof/>
        </w:rPr>
        <w:drawing>
          <wp:inline distT="0" distB="0" distL="0" distR="0" wp14:anchorId="4E7A191B" wp14:editId="3D21F2B5">
            <wp:extent cx="180000" cy="180000"/>
            <wp:effectExtent l="0" t="0" r="0" b="0"/>
            <wp:docPr id="1092436032" name="Picture 2" descr="A white play button with a black arrow&#10;&#10;AI-generated content may be incorrect.">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105266" name="Picture 2" descr="A white play button with a black arrow&#10;&#10;AI-generated content may be incorrect.">
                      <a:hlinkClick r:id="rId15"/>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r>
        <w:rPr>
          <w:rFonts w:ascii="Segoe UI Semibold" w:hAnsi="Segoe UI Semibold" w:cs="Segoe UI Semibold"/>
        </w:rPr>
        <w:t xml:space="preserve"> </w:t>
      </w:r>
      <w:r>
        <w:rPr>
          <w:rFonts w:ascii="Segoe UI Semibold" w:hAnsi="Segoe UI Semibold" w:cs="Segoe UI Semibold"/>
          <w:noProof/>
        </w:rPr>
        <w:drawing>
          <wp:inline distT="0" distB="0" distL="0" distR="0" wp14:anchorId="5A68D1AF" wp14:editId="02410ECE">
            <wp:extent cx="180000" cy="180000"/>
            <wp:effectExtent l="0" t="0" r="0" b="0"/>
            <wp:docPr id="184061278" name="Picture 3" descr="A white circle with a letter f in it&#10;&#10;AI-generated content may be incorrect.">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279226" name="Picture 3" descr="A white circle with a letter f in it&#10;&#10;AI-generated content may be incorrect.">
                      <a:hlinkClick r:id="rId17"/>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r>
        <w:rPr>
          <w:rFonts w:ascii="Segoe UI Semibold" w:hAnsi="Segoe UI Semibold" w:cs="Segoe UI Semibold"/>
        </w:rPr>
        <w:t xml:space="preserve"> </w:t>
      </w:r>
      <w:r>
        <w:rPr>
          <w:rFonts w:ascii="Segoe UI Semibold" w:hAnsi="Segoe UI Semibold" w:cs="Segoe UI Semibold"/>
          <w:noProof/>
        </w:rPr>
        <w:drawing>
          <wp:inline distT="0" distB="0" distL="0" distR="0" wp14:anchorId="14E19B5A" wp14:editId="2E118D1D">
            <wp:extent cx="180000" cy="180000"/>
            <wp:effectExtent l="0" t="0" r="0" b="0"/>
            <wp:docPr id="1756124353" name="Picture 4" descr="A white logo with a circle&#10;&#10;AI-generated content may be incorrect.">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408633" name="Picture 4" descr="A white logo with a circle&#10;&#10;AI-generated content may be incorrect.">
                      <a:hlinkClick r:id="rId19"/>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p w14:paraId="671332B0" w14:textId="77777777" w:rsidR="003D2DAD" w:rsidRPr="00745FB6" w:rsidRDefault="003D2DAD" w:rsidP="00745FB6">
      <w:pPr>
        <w:pStyle w:val="03BodyText"/>
        <w:rPr>
          <w:lang w:val="it-IT"/>
        </w:rPr>
      </w:pPr>
    </w:p>
    <w:sectPr w:rsidR="003D2DAD" w:rsidRPr="00745FB6" w:rsidSect="004519FE">
      <w:headerReference w:type="default" r:id="rId21"/>
      <w:footerReference w:type="default" r:id="rId22"/>
      <w:headerReference w:type="first" r:id="rId23"/>
      <w:pgSz w:w="11907" w:h="16839" w:code="9"/>
      <w:pgMar w:top="1985" w:right="1418" w:bottom="1134"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3ACFD" w14:textId="77777777" w:rsidR="00BD3412" w:rsidRDefault="00BD3412" w:rsidP="004334FB">
      <w:pPr>
        <w:spacing w:after="0" w:line="240" w:lineRule="auto"/>
      </w:pPr>
      <w:r>
        <w:separator/>
      </w:r>
    </w:p>
  </w:endnote>
  <w:endnote w:type="continuationSeparator" w:id="0">
    <w:p w14:paraId="6B1B1C3B" w14:textId="77777777" w:rsidR="00BD3412" w:rsidRDefault="00BD3412" w:rsidP="00433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F3928" w14:textId="77777777" w:rsidR="003E78F9" w:rsidRPr="003A55B6" w:rsidRDefault="003E78F9" w:rsidP="00767A9A">
    <w:pPr>
      <w:pStyle w:val="Fuzeile"/>
      <w:jc w:val="right"/>
      <w:rPr>
        <w:rFonts w:ascii="Segoe UI Semibold" w:hAnsi="Segoe UI Semibold" w:cs="Segoe UI Semibold"/>
        <w:bCs/>
        <w:color w:val="FFFFFF" w:themeColor="background1"/>
        <w:sz w:val="28"/>
        <w:szCs w:val="28"/>
      </w:rPr>
    </w:pPr>
    <w:r w:rsidRPr="00E06B6E">
      <w:rPr>
        <w:rFonts w:ascii="Times New Roman" w:hAnsi="Times New Roman" w:cs="Times New Roman"/>
        <w:b/>
        <w:noProof/>
        <w:color w:val="FFFFFF" w:themeColor="background1"/>
        <w:sz w:val="28"/>
        <w:szCs w:val="28"/>
        <w:lang w:val="de-AT" w:eastAsia="de-AT"/>
      </w:rPr>
      <mc:AlternateContent>
        <mc:Choice Requires="wps">
          <w:drawing>
            <wp:anchor distT="0" distB="0" distL="114300" distR="114300" simplePos="0" relativeHeight="251670528" behindDoc="1" locked="0" layoutInCell="1" allowOverlap="1" wp14:anchorId="261E5569" wp14:editId="74BF587C">
              <wp:simplePos x="0" y="0"/>
              <wp:positionH relativeFrom="column">
                <wp:posOffset>5567482</wp:posOffset>
              </wp:positionH>
              <wp:positionV relativeFrom="page">
                <wp:posOffset>10091956</wp:posOffset>
              </wp:positionV>
              <wp:extent cx="269875" cy="646383"/>
              <wp:effectExtent l="0" t="0" r="0" b="1905"/>
              <wp:wrapNone/>
              <wp:docPr id="7"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646383"/>
                      </a:xfrm>
                      <a:prstGeom prst="rect">
                        <a:avLst/>
                      </a:prstGeom>
                      <a:solidFill>
                        <a:srgbClr val="B0B1B3"/>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9BCBBA" id="Rectangle 23" o:spid="_x0000_s1026" style="position:absolute;margin-left:438.4pt;margin-top:794.65pt;width:21.25pt;height:50.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" fillcolor="#b0b1b3" stroked="f">
              <w10:wrap anchory="page"/>
            </v:rect>
          </w:pict>
        </mc:Fallback>
      </mc:AlternateContent>
    </w:r>
    <w:r w:rsidRPr="00E06B6E">
      <w:rPr>
        <w:rFonts w:ascii="Times New Roman" w:hAnsi="Times New Roman" w:cs="Times New Roman"/>
        <w:noProof/>
        <w:color w:val="FFFFFF" w:themeColor="background1"/>
        <w:sz w:val="28"/>
        <w:szCs w:val="28"/>
        <w:lang w:val="de-AT" w:eastAsia="de-AT"/>
      </w:rPr>
      <w:drawing>
        <wp:anchor distT="0" distB="0" distL="114300" distR="114300" simplePos="0" relativeHeight="251671552" behindDoc="0" locked="0" layoutInCell="1" allowOverlap="1" wp14:anchorId="6BB287DA" wp14:editId="3B12AB4F">
          <wp:simplePos x="0" y="0"/>
          <wp:positionH relativeFrom="page">
            <wp:align>left</wp:align>
          </wp:positionH>
          <wp:positionV relativeFrom="paragraph">
            <wp:posOffset>-1480185</wp:posOffset>
          </wp:positionV>
          <wp:extent cx="173736" cy="1399032"/>
          <wp:effectExtent l="0" t="0" r="0" b="0"/>
          <wp:wrapTight wrapText="bothSides">
            <wp:wrapPolygon edited="0">
              <wp:start x="0" y="0"/>
              <wp:lineTo x="0" y="21178"/>
              <wp:lineTo x="18989" y="21178"/>
              <wp:lineTo x="18989" y="0"/>
              <wp:lineTo x="0" y="0"/>
            </wp:wrapPolygon>
          </wp:wrapTight>
          <wp:docPr id="1428648035" name="Picture 142864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bar.jpg"/>
                  <pic:cNvPicPr/>
                </pic:nvPicPr>
                <pic:blipFill>
                  <a:blip r:embed="rId1">
                    <a:extLst>
                      <a:ext uri="{28A0092B-C50C-407E-A947-70E740481C1C}">
                        <a14:useLocalDpi xmlns:a14="http://schemas.microsoft.com/office/drawing/2010/main" val="0"/>
                      </a:ext>
                    </a:extLst>
                  </a:blip>
                  <a:stretch>
                    <a:fillRect/>
                  </a:stretch>
                </pic:blipFill>
                <pic:spPr>
                  <a:xfrm>
                    <a:off x="0" y="0"/>
                    <a:ext cx="173736" cy="1399032"/>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heme="minorEastAsia" w:hAnsi="Times New Roman" w:cs="Times New Roman"/>
        <w:b/>
        <w:color w:val="FFFFFF" w:themeColor="background1"/>
        <w:sz w:val="28"/>
        <w:szCs w:val="28"/>
      </w:rPr>
      <w:t xml:space="preserve">    </w:t>
    </w:r>
    <w:r w:rsidRPr="003A55B6">
      <w:rPr>
        <w:rFonts w:ascii="Segoe UI Semibold" w:eastAsiaTheme="minorEastAsia" w:hAnsi="Segoe UI Semibold" w:cs="Segoe UI Semibold"/>
        <w:bCs/>
        <w:color w:val="FFFFFF" w:themeColor="background1"/>
        <w:sz w:val="20"/>
        <w:szCs w:val="20"/>
      </w:rPr>
      <w:fldChar w:fldCharType="begin"/>
    </w:r>
    <w:r w:rsidRPr="003A55B6">
      <w:rPr>
        <w:rFonts w:ascii="Segoe UI Semibold" w:hAnsi="Segoe UI Semibold" w:cs="Segoe UI Semibold"/>
        <w:bCs/>
        <w:color w:val="FFFFFF" w:themeColor="background1"/>
        <w:sz w:val="20"/>
        <w:szCs w:val="20"/>
      </w:rPr>
      <w:instrText>PAGE   \* MERGEFORMAT</w:instrText>
    </w:r>
    <w:r w:rsidRPr="003A55B6">
      <w:rPr>
        <w:rFonts w:ascii="Segoe UI Semibold" w:eastAsiaTheme="minorEastAsia" w:hAnsi="Segoe UI Semibold" w:cs="Segoe UI Semibold"/>
        <w:bCs/>
        <w:color w:val="FFFFFF" w:themeColor="background1"/>
        <w:sz w:val="20"/>
        <w:szCs w:val="20"/>
      </w:rPr>
      <w:fldChar w:fldCharType="separate"/>
    </w:r>
    <w:r w:rsidR="00484832" w:rsidRPr="003A55B6">
      <w:rPr>
        <w:rFonts w:ascii="Segoe UI Semibold" w:eastAsiaTheme="majorEastAsia" w:hAnsi="Segoe UI Semibold" w:cs="Segoe UI Semibold"/>
        <w:bCs/>
        <w:noProof/>
        <w:color w:val="FFFFFF" w:themeColor="background1"/>
        <w:sz w:val="20"/>
        <w:szCs w:val="20"/>
        <w:lang w:val="de-DE"/>
      </w:rPr>
      <w:t>5</w:t>
    </w:r>
    <w:r w:rsidRPr="003A55B6">
      <w:rPr>
        <w:rFonts w:ascii="Segoe UI Semibold" w:eastAsiaTheme="majorEastAsia" w:hAnsi="Segoe UI Semibold" w:cs="Segoe UI Semibold"/>
        <w:bCs/>
        <w:color w:val="FFFFFF" w:themeColor="background1"/>
        <w:sz w:val="20"/>
        <w:szCs w:val="20"/>
      </w:rPr>
      <w:fldChar w:fldCharType="end"/>
    </w:r>
  </w:p>
  <w:p w14:paraId="2630A7F9" w14:textId="77777777" w:rsidR="003E78F9" w:rsidRDefault="003E78F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AD1B" w14:textId="77777777" w:rsidR="00BD3412" w:rsidRDefault="00BD3412" w:rsidP="004334FB">
      <w:pPr>
        <w:spacing w:after="0" w:line="240" w:lineRule="auto"/>
      </w:pPr>
      <w:r>
        <w:separator/>
      </w:r>
    </w:p>
  </w:footnote>
  <w:footnote w:type="continuationSeparator" w:id="0">
    <w:p w14:paraId="4828DE5F" w14:textId="77777777" w:rsidR="00BD3412" w:rsidRDefault="00BD3412" w:rsidP="004334FB">
      <w:pPr>
        <w:spacing w:after="0" w:line="240" w:lineRule="auto"/>
      </w:pPr>
      <w:r>
        <w:continuationSeparator/>
      </w:r>
    </w:p>
  </w:footnote>
  <w:footnote w:id="1">
    <w:p w14:paraId="1BD5E740" w14:textId="77777777" w:rsidR="001F245C" w:rsidRPr="001F245C" w:rsidRDefault="001F245C">
      <w:pPr>
        <w:pStyle w:val="Funotentext"/>
        <w:rPr>
          <w:lang w:val="de-DE"/>
        </w:rPr>
      </w:pPr>
      <w:r>
        <w:rPr>
          <w:rStyle w:val="Funotenzeichen"/>
        </w:rPr>
        <w:footnoteRef/>
      </w:r>
      <w:r>
        <w:t xml:space="preserve"> </w:t>
      </w:r>
      <w:r w:rsidRPr="001F245C">
        <w:t>https://windeurope.org/eolis2025/?utm_source=chatgpt.com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19F94" w14:textId="77777777" w:rsidR="003E78F9" w:rsidRDefault="00A27B4F" w:rsidP="004B361E">
    <w:pPr>
      <w:pStyle w:val="PageHeaderTitle"/>
      <w:tabs>
        <w:tab w:val="clear" w:pos="4703"/>
        <w:tab w:val="clear" w:pos="9406"/>
        <w:tab w:val="left" w:pos="2580"/>
      </w:tabs>
    </w:pPr>
    <w:r>
      <w:rPr>
        <w:noProof/>
      </w:rPr>
      <w:drawing>
        <wp:anchor distT="0" distB="0" distL="114300" distR="114300" simplePos="0" relativeHeight="251675648" behindDoc="0" locked="0" layoutInCell="1" allowOverlap="1" wp14:anchorId="52A8D45D" wp14:editId="31E7D68B">
          <wp:simplePos x="0" y="0"/>
          <wp:positionH relativeFrom="page">
            <wp:posOffset>5581403</wp:posOffset>
          </wp:positionH>
          <wp:positionV relativeFrom="page">
            <wp:posOffset>542015</wp:posOffset>
          </wp:positionV>
          <wp:extent cx="1440000" cy="257693"/>
          <wp:effectExtent l="0" t="0" r="0" b="9525"/>
          <wp:wrapNone/>
          <wp:docPr id="2220090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795897"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40000" cy="257693"/>
                  </a:xfrm>
                  <a:prstGeom prst="rect">
                    <a:avLst/>
                  </a:prstGeom>
                  <a:noFill/>
                  <a:ln>
                    <a:noFill/>
                  </a:ln>
                </pic:spPr>
              </pic:pic>
            </a:graphicData>
          </a:graphic>
          <wp14:sizeRelH relativeFrom="page">
            <wp14:pctWidth>0</wp14:pctWidth>
          </wp14:sizeRelH>
          <wp14:sizeRelV relativeFrom="page">
            <wp14:pctHeight>0</wp14:pctHeight>
          </wp14:sizeRelV>
        </wp:anchor>
      </w:drawing>
    </w:r>
    <w:r w:rsidR="004B361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886A6" w14:textId="77777777" w:rsidR="003E78F9" w:rsidRDefault="003E78F9" w:rsidP="003E78F9">
    <w:pPr>
      <w:pStyle w:val="Kopfzeile"/>
    </w:pPr>
  </w:p>
  <w:p w14:paraId="0FB26E71" w14:textId="77777777" w:rsidR="003E78F9" w:rsidRDefault="00BD3412">
    <w:pPr>
      <w:pStyle w:val="Kopfzeile"/>
    </w:pPr>
    <w:r>
      <w:rPr>
        <w:noProof/>
      </w:rPr>
      <w:object w:dxaOrig="0" w:dyaOrig="0" w14:anchorId="5642CB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427.15pt;margin-top:50.85pt;width:35.15pt;height:29.75pt;z-index:251668480;visibility:visible;mso-wrap-edited:f;mso-position-horizontal-relative:text;mso-position-vertical-relative:page" wrapcoords="-415 0 -415 21109 21600 21109 21600 0 -415 0" o:allowoverlap="f">
          <v:imagedata r:id="rId1" o:title=""/>
          <w10:wrap type="square" anchory="page"/>
        </v:shape>
        <o:OLEObject Type="Embed" ProgID="Word.Picture.8" ShapeID="_x0000_s1028" DrawAspect="Content" ObjectID="_1850372403" r:id="rId2"/>
      </w:object>
    </w:r>
    <w:r w:rsidR="003E78F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434A088"/>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8C2085"/>
    <w:multiLevelType w:val="hybridMultilevel"/>
    <w:tmpl w:val="AFD63DF2"/>
    <w:lvl w:ilvl="0" w:tplc="D512954C">
      <w:start w:val="1"/>
      <w:numFmt w:val="bullet"/>
      <w:pStyle w:val="08BulletsLevel3"/>
      <w:lvlText w:val="-"/>
      <w:lvlJc w:val="left"/>
      <w:pPr>
        <w:ind w:left="3561" w:hanging="360"/>
      </w:pPr>
      <w:rPr>
        <w:rFonts w:ascii="Arial" w:hAnsi="Arial" w:hint="default"/>
        <w:color w:val="F15A22"/>
      </w:rPr>
    </w:lvl>
    <w:lvl w:ilvl="1" w:tplc="04090003" w:tentative="1">
      <w:start w:val="1"/>
      <w:numFmt w:val="bullet"/>
      <w:lvlText w:val="o"/>
      <w:lvlJc w:val="left"/>
      <w:pPr>
        <w:ind w:left="4281" w:hanging="360"/>
      </w:pPr>
      <w:rPr>
        <w:rFonts w:ascii="Courier New" w:hAnsi="Courier New" w:cs="Courier New" w:hint="default"/>
      </w:rPr>
    </w:lvl>
    <w:lvl w:ilvl="2" w:tplc="04090005" w:tentative="1">
      <w:start w:val="1"/>
      <w:numFmt w:val="bullet"/>
      <w:lvlText w:val=""/>
      <w:lvlJc w:val="left"/>
      <w:pPr>
        <w:ind w:left="5001" w:hanging="360"/>
      </w:pPr>
      <w:rPr>
        <w:rFonts w:ascii="Wingdings" w:hAnsi="Wingdings" w:hint="default"/>
      </w:rPr>
    </w:lvl>
    <w:lvl w:ilvl="3" w:tplc="04090001" w:tentative="1">
      <w:start w:val="1"/>
      <w:numFmt w:val="bullet"/>
      <w:lvlText w:val=""/>
      <w:lvlJc w:val="left"/>
      <w:pPr>
        <w:ind w:left="5721" w:hanging="360"/>
      </w:pPr>
      <w:rPr>
        <w:rFonts w:ascii="Symbol" w:hAnsi="Symbol" w:hint="default"/>
      </w:rPr>
    </w:lvl>
    <w:lvl w:ilvl="4" w:tplc="04090003" w:tentative="1">
      <w:start w:val="1"/>
      <w:numFmt w:val="bullet"/>
      <w:lvlText w:val="o"/>
      <w:lvlJc w:val="left"/>
      <w:pPr>
        <w:ind w:left="6441" w:hanging="360"/>
      </w:pPr>
      <w:rPr>
        <w:rFonts w:ascii="Courier New" w:hAnsi="Courier New" w:cs="Courier New" w:hint="default"/>
      </w:rPr>
    </w:lvl>
    <w:lvl w:ilvl="5" w:tplc="04090005" w:tentative="1">
      <w:start w:val="1"/>
      <w:numFmt w:val="bullet"/>
      <w:lvlText w:val=""/>
      <w:lvlJc w:val="left"/>
      <w:pPr>
        <w:ind w:left="7161" w:hanging="360"/>
      </w:pPr>
      <w:rPr>
        <w:rFonts w:ascii="Wingdings" w:hAnsi="Wingdings" w:hint="default"/>
      </w:rPr>
    </w:lvl>
    <w:lvl w:ilvl="6" w:tplc="04090001" w:tentative="1">
      <w:start w:val="1"/>
      <w:numFmt w:val="bullet"/>
      <w:lvlText w:val=""/>
      <w:lvlJc w:val="left"/>
      <w:pPr>
        <w:ind w:left="7881" w:hanging="360"/>
      </w:pPr>
      <w:rPr>
        <w:rFonts w:ascii="Symbol" w:hAnsi="Symbol" w:hint="default"/>
      </w:rPr>
    </w:lvl>
    <w:lvl w:ilvl="7" w:tplc="04090003" w:tentative="1">
      <w:start w:val="1"/>
      <w:numFmt w:val="bullet"/>
      <w:lvlText w:val="o"/>
      <w:lvlJc w:val="left"/>
      <w:pPr>
        <w:ind w:left="8601" w:hanging="360"/>
      </w:pPr>
      <w:rPr>
        <w:rFonts w:ascii="Courier New" w:hAnsi="Courier New" w:cs="Courier New" w:hint="default"/>
      </w:rPr>
    </w:lvl>
    <w:lvl w:ilvl="8" w:tplc="04090005" w:tentative="1">
      <w:start w:val="1"/>
      <w:numFmt w:val="bullet"/>
      <w:lvlText w:val=""/>
      <w:lvlJc w:val="left"/>
      <w:pPr>
        <w:ind w:left="9321" w:hanging="360"/>
      </w:pPr>
      <w:rPr>
        <w:rFonts w:ascii="Wingdings" w:hAnsi="Wingdings" w:hint="default"/>
      </w:rPr>
    </w:lvl>
  </w:abstractNum>
  <w:abstractNum w:abstractNumId="2" w15:restartNumberingAfterBreak="0">
    <w:nsid w:val="05901914"/>
    <w:multiLevelType w:val="hybridMultilevel"/>
    <w:tmpl w:val="4552AF6A"/>
    <w:lvl w:ilvl="0" w:tplc="862A9422">
      <w:start w:val="1"/>
      <w:numFmt w:val="decimal"/>
      <w:lvlText w:val="1.%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18702E96"/>
    <w:multiLevelType w:val="multilevel"/>
    <w:tmpl w:val="F9B8CA0C"/>
    <w:styleLink w:val="05bHeadlinenumbered"/>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3CBB22A9"/>
    <w:multiLevelType w:val="multilevel"/>
    <w:tmpl w:val="3196A2D2"/>
    <w:styleLink w:val="MultilayerListstraton"/>
    <w:lvl w:ilvl="0">
      <w:start w:val="1"/>
      <w:numFmt w:val="decimal"/>
      <w:pStyle w:val="04Headline1"/>
      <w:lvlText w:val="%1."/>
      <w:lvlJc w:val="left"/>
      <w:pPr>
        <w:ind w:left="360" w:hanging="360"/>
      </w:pPr>
      <w:rPr>
        <w:rFonts w:ascii="Segoe UI Semibold" w:hAnsi="Segoe UI Semibold" w:hint="default"/>
        <w:b w:val="0"/>
        <w:i w:val="0"/>
      </w:rPr>
    </w:lvl>
    <w:lvl w:ilvl="1">
      <w:start w:val="1"/>
      <w:numFmt w:val="decimal"/>
      <w:pStyle w:val="05bHeadline2numbered"/>
      <w:lvlText w:val="%1.%2."/>
      <w:lvlJc w:val="left"/>
      <w:pPr>
        <w:ind w:left="720" w:hanging="360"/>
      </w:pPr>
      <w:rPr>
        <w:rFonts w:hint="default"/>
      </w:rPr>
    </w:lvl>
    <w:lvl w:ilvl="2">
      <w:start w:val="1"/>
      <w:numFmt w:val="decimal"/>
      <w:pStyle w:val="06bHeadline3numbered"/>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6C35F0A"/>
    <w:multiLevelType w:val="multilevel"/>
    <w:tmpl w:val="001CA4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D49230E"/>
    <w:multiLevelType w:val="multilevel"/>
    <w:tmpl w:val="0C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53B508FF"/>
    <w:multiLevelType w:val="hybridMultilevel"/>
    <w:tmpl w:val="ACC24112"/>
    <w:lvl w:ilvl="0" w:tplc="BB706DB0">
      <w:start w:val="1"/>
      <w:numFmt w:val="bullet"/>
      <w:pStyle w:val="08BulletsLevel1"/>
      <w:lvlText w:val="}"/>
      <w:lvlJc w:val="left"/>
      <w:pPr>
        <w:ind w:left="1398" w:hanging="360"/>
      </w:pPr>
      <w:rPr>
        <w:rFonts w:ascii="Wingdings 3" w:hAnsi="Wingdings 3" w:cs="Wingdings 3" w:hint="default"/>
        <w:bCs w:val="0"/>
        <w:iCs w:val="0"/>
        <w:color w:val="F15A22"/>
        <w:szCs w:val="20"/>
      </w:rPr>
    </w:lvl>
    <w:lvl w:ilvl="1" w:tplc="9BFEE4F2">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8" w15:restartNumberingAfterBreak="0">
    <w:nsid w:val="54B571CE"/>
    <w:multiLevelType w:val="multilevel"/>
    <w:tmpl w:val="F9B8CA0C"/>
    <w:numStyleLink w:val="05bHeadlinenumbered"/>
  </w:abstractNum>
  <w:abstractNum w:abstractNumId="9" w15:restartNumberingAfterBreak="0">
    <w:nsid w:val="54C6015A"/>
    <w:multiLevelType w:val="multilevel"/>
    <w:tmpl w:val="2AE4D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D67F45"/>
    <w:multiLevelType w:val="hybridMultilevel"/>
    <w:tmpl w:val="A866D1EC"/>
    <w:lvl w:ilvl="0" w:tplc="B5BC5C56">
      <w:start w:val="1"/>
      <w:numFmt w:val="decimalZero"/>
      <w:lvlText w:val="%1"/>
      <w:lvlJc w:val="left"/>
      <w:pPr>
        <w:ind w:left="720" w:hanging="360"/>
      </w:pPr>
      <w:rPr>
        <w:rFonts w:ascii="Arial" w:hAnsi="Arial" w:hint="default"/>
        <w:b/>
        <w:i w:val="0"/>
        <w:color w:val="001B38" w:themeColor="accent1"/>
        <w:u w:color="001B38"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E6248D"/>
    <w:multiLevelType w:val="hybridMultilevel"/>
    <w:tmpl w:val="33269284"/>
    <w:lvl w:ilvl="0" w:tplc="0DD28F4E">
      <w:start w:val="1"/>
      <w:numFmt w:val="decimal"/>
      <w:lvlText w:val="%1."/>
      <w:lvlJc w:val="left"/>
      <w:pPr>
        <w:ind w:left="360" w:hanging="360"/>
      </w:pPr>
      <w:rPr>
        <w:rFonts w:hint="default"/>
        <w:b/>
        <w:i w:val="0"/>
        <w:color w:val="001B38" w:themeColor="accent1"/>
        <w:u w:color="001B38"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3866B7"/>
    <w:multiLevelType w:val="hybridMultilevel"/>
    <w:tmpl w:val="AF00145C"/>
    <w:lvl w:ilvl="0" w:tplc="7C08AAFE">
      <w:start w:val="1"/>
      <w:numFmt w:val="bullet"/>
      <w:pStyle w:val="08BulletsLevel2"/>
      <w:lvlText w:val=""/>
      <w:lvlJc w:val="left"/>
      <w:pPr>
        <w:ind w:left="2481" w:hanging="360"/>
      </w:pPr>
      <w:rPr>
        <w:rFonts w:ascii="Wingdings" w:hAnsi="Wingdings" w:hint="default"/>
        <w:color w:val="F15A22"/>
        <w:sz w:val="20"/>
        <w:szCs w:val="20"/>
      </w:rPr>
    </w:lvl>
    <w:lvl w:ilvl="1" w:tplc="23722902">
      <w:start w:val="1"/>
      <w:numFmt w:val="bullet"/>
      <w:lvlText w:val="o"/>
      <w:lvlJc w:val="left"/>
      <w:pPr>
        <w:ind w:left="3200" w:hanging="360"/>
      </w:pPr>
      <w:rPr>
        <w:rFonts w:ascii="Courier New" w:hAnsi="Courier New" w:cs="Courier New" w:hint="default"/>
      </w:rPr>
    </w:lvl>
    <w:lvl w:ilvl="2" w:tplc="04090005" w:tentative="1">
      <w:start w:val="1"/>
      <w:numFmt w:val="bullet"/>
      <w:lvlText w:val=""/>
      <w:lvlJc w:val="left"/>
      <w:pPr>
        <w:ind w:left="3920" w:hanging="360"/>
      </w:pPr>
      <w:rPr>
        <w:rFonts w:ascii="Wingdings" w:hAnsi="Wingdings" w:hint="default"/>
      </w:rPr>
    </w:lvl>
    <w:lvl w:ilvl="3" w:tplc="04090001" w:tentative="1">
      <w:start w:val="1"/>
      <w:numFmt w:val="bullet"/>
      <w:lvlText w:val=""/>
      <w:lvlJc w:val="left"/>
      <w:pPr>
        <w:ind w:left="4640" w:hanging="360"/>
      </w:pPr>
      <w:rPr>
        <w:rFonts w:ascii="Symbol" w:hAnsi="Symbol" w:hint="default"/>
      </w:rPr>
    </w:lvl>
    <w:lvl w:ilvl="4" w:tplc="04090003" w:tentative="1">
      <w:start w:val="1"/>
      <w:numFmt w:val="bullet"/>
      <w:lvlText w:val="o"/>
      <w:lvlJc w:val="left"/>
      <w:pPr>
        <w:ind w:left="5360" w:hanging="360"/>
      </w:pPr>
      <w:rPr>
        <w:rFonts w:ascii="Courier New" w:hAnsi="Courier New" w:cs="Courier New" w:hint="default"/>
      </w:rPr>
    </w:lvl>
    <w:lvl w:ilvl="5" w:tplc="04090005" w:tentative="1">
      <w:start w:val="1"/>
      <w:numFmt w:val="bullet"/>
      <w:lvlText w:val=""/>
      <w:lvlJc w:val="left"/>
      <w:pPr>
        <w:ind w:left="6080" w:hanging="360"/>
      </w:pPr>
      <w:rPr>
        <w:rFonts w:ascii="Wingdings" w:hAnsi="Wingdings" w:hint="default"/>
      </w:rPr>
    </w:lvl>
    <w:lvl w:ilvl="6" w:tplc="04090001" w:tentative="1">
      <w:start w:val="1"/>
      <w:numFmt w:val="bullet"/>
      <w:lvlText w:val=""/>
      <w:lvlJc w:val="left"/>
      <w:pPr>
        <w:ind w:left="6800" w:hanging="360"/>
      </w:pPr>
      <w:rPr>
        <w:rFonts w:ascii="Symbol" w:hAnsi="Symbol" w:hint="default"/>
      </w:rPr>
    </w:lvl>
    <w:lvl w:ilvl="7" w:tplc="04090003" w:tentative="1">
      <w:start w:val="1"/>
      <w:numFmt w:val="bullet"/>
      <w:lvlText w:val="o"/>
      <w:lvlJc w:val="left"/>
      <w:pPr>
        <w:ind w:left="7520" w:hanging="360"/>
      </w:pPr>
      <w:rPr>
        <w:rFonts w:ascii="Courier New" w:hAnsi="Courier New" w:cs="Courier New" w:hint="default"/>
      </w:rPr>
    </w:lvl>
    <w:lvl w:ilvl="8" w:tplc="04090005" w:tentative="1">
      <w:start w:val="1"/>
      <w:numFmt w:val="bullet"/>
      <w:lvlText w:val=""/>
      <w:lvlJc w:val="left"/>
      <w:pPr>
        <w:ind w:left="8240" w:hanging="360"/>
      </w:pPr>
      <w:rPr>
        <w:rFonts w:ascii="Wingdings" w:hAnsi="Wingdings" w:hint="default"/>
      </w:rPr>
    </w:lvl>
  </w:abstractNum>
  <w:abstractNum w:abstractNumId="13" w15:restartNumberingAfterBreak="0">
    <w:nsid w:val="737818E2"/>
    <w:multiLevelType w:val="multilevel"/>
    <w:tmpl w:val="822AFB3A"/>
    <w:styleLink w:val="Style1"/>
    <w:lvl w:ilvl="0">
      <w:start w:val="1"/>
      <w:numFmt w:val="decimal"/>
      <w:lvlText w:val="%1."/>
      <w:lvlJc w:val="left"/>
      <w:pPr>
        <w:ind w:left="360" w:hanging="360"/>
      </w:pPr>
      <w:rPr>
        <w:rFonts w:hint="default"/>
        <w:b/>
        <w:i w:val="0"/>
        <w:color w:val="001B38" w:themeColor="accent1"/>
        <w:u w:color="001B38" w:themeColor="accent1"/>
      </w:rPr>
    </w:lvl>
    <w:lvl w:ilvl="1">
      <w:start w:val="1"/>
      <w:numFmt w:val="decimal"/>
      <w:pStyle w:val="05bHeadlinenumbered-"/>
      <w:lvlText w:val="%1.%2."/>
      <w:lvlJc w:val="left"/>
      <w:pPr>
        <w:ind w:left="1353"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739E40FC"/>
    <w:multiLevelType w:val="hybridMultilevel"/>
    <w:tmpl w:val="118EBC4A"/>
    <w:lvl w:ilvl="0" w:tplc="058875BA">
      <w:start w:val="1"/>
      <w:numFmt w:val="decimal"/>
      <w:pStyle w:val="07NumbersLevel1"/>
      <w:lvlText w:val="%1."/>
      <w:lvlJc w:val="left"/>
      <w:pPr>
        <w:ind w:left="720" w:hanging="360"/>
      </w:pPr>
    </w:lvl>
    <w:lvl w:ilvl="1" w:tplc="0B32F678">
      <w:start w:val="1"/>
      <w:numFmt w:val="lowerLetter"/>
      <w:pStyle w:val="07NumbersLevel2"/>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6D5895"/>
    <w:multiLevelType w:val="multilevel"/>
    <w:tmpl w:val="21A63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2C3630"/>
    <w:multiLevelType w:val="hybridMultilevel"/>
    <w:tmpl w:val="0F883F2A"/>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1263566261">
    <w:abstractNumId w:val="10"/>
  </w:num>
  <w:num w:numId="2" w16cid:durableId="914584778">
    <w:abstractNumId w:val="11"/>
  </w:num>
  <w:num w:numId="3" w16cid:durableId="255557424">
    <w:abstractNumId w:val="0"/>
  </w:num>
  <w:num w:numId="4" w16cid:durableId="1083533400">
    <w:abstractNumId w:val="14"/>
  </w:num>
  <w:num w:numId="5" w16cid:durableId="1949195957">
    <w:abstractNumId w:val="7"/>
  </w:num>
  <w:num w:numId="6" w16cid:durableId="1839611706">
    <w:abstractNumId w:val="12"/>
  </w:num>
  <w:num w:numId="7" w16cid:durableId="1959558498">
    <w:abstractNumId w:val="1"/>
  </w:num>
  <w:num w:numId="8" w16cid:durableId="2001887894">
    <w:abstractNumId w:val="5"/>
  </w:num>
  <w:num w:numId="9" w16cid:durableId="2078243024">
    <w:abstractNumId w:val="3"/>
  </w:num>
  <w:num w:numId="10" w16cid:durableId="91364193">
    <w:abstractNumId w:val="8"/>
  </w:num>
  <w:num w:numId="11" w16cid:durableId="599264864">
    <w:abstractNumId w:val="2"/>
  </w:num>
  <w:num w:numId="12" w16cid:durableId="1809131594">
    <w:abstractNumId w:val="13"/>
  </w:num>
  <w:num w:numId="13" w16cid:durableId="10668055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13744422">
    <w:abstractNumId w:val="6"/>
  </w:num>
  <w:num w:numId="15" w16cid:durableId="1026293949">
    <w:abstractNumId w:val="16"/>
  </w:num>
  <w:num w:numId="16" w16cid:durableId="1000234576">
    <w:abstractNumId w:val="4"/>
  </w:num>
  <w:num w:numId="17" w16cid:durableId="332414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01501467">
    <w:abstractNumId w:val="7"/>
  </w:num>
  <w:num w:numId="19" w16cid:durableId="1174035967">
    <w:abstractNumId w:val="15"/>
  </w:num>
  <w:num w:numId="20" w16cid:durableId="21240297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en-US" w:vendorID="64" w:dllVersion="6" w:nlCheck="1" w:checkStyle="1"/>
  <w:activeWritingStyle w:appName="MSWord" w:lang="de-AT" w:vendorID="64" w:dllVersion="6" w:nlCheck="1" w:checkStyle="1"/>
  <w:activeWritingStyle w:appName="MSWord" w:lang="de-DE" w:vendorID="64" w:dllVersion="6" w:nlCheck="1" w:checkStyle="1"/>
  <w:activeWritingStyle w:appName="MSWord" w:lang="fr-FR" w:vendorID="64" w:dllVersion="6" w:nlCheck="1" w:checkStyle="0"/>
  <w:activeWritingStyle w:appName="MSWord" w:lang="en-US" w:vendorID="64" w:dllVersion="0" w:nlCheck="1" w:checkStyle="0"/>
  <w:activeWritingStyle w:appName="MSWord" w:lang="it-IT" w:vendorID="64" w:dllVersion="0" w:nlCheck="1" w:checkStyle="0"/>
  <w:activeWritingStyle w:appName="MSWord" w:lang="de-AT" w:vendorID="64" w:dllVersion="0" w:nlCheck="1" w:checkStyle="0"/>
  <w:activeWritingStyle w:appName="MSWord" w:lang="de-DE" w:vendorID="64" w:dllVersion="0" w:nlCheck="1" w:checkStyle="0"/>
  <w:activeWritingStyle w:appName="MSWord" w:lang="fr-FR" w:vendorID="64" w:dllVersion="0" w:nlCheck="1" w:checkStyle="0"/>
  <w:activeWritingStyle w:appName="MSWord" w:lang="en-GB" w:vendorID="64" w:dllVersion="0" w:nlCheck="1" w:checkStyle="0"/>
  <w:activeWritingStyle w:appName="MSWord" w:lang="sv-SE" w:vendorID="64" w:dllVersion="0" w:nlCheck="1" w:checkStyle="0"/>
  <w:proofState w:spelling="clean" w:grammar="clean"/>
  <w:attachedTemplate r:id="rId1"/>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8C5"/>
    <w:rsid w:val="000048A1"/>
    <w:rsid w:val="000118AB"/>
    <w:rsid w:val="000175E5"/>
    <w:rsid w:val="0003127B"/>
    <w:rsid w:val="000660F2"/>
    <w:rsid w:val="00066C6F"/>
    <w:rsid w:val="00073333"/>
    <w:rsid w:val="000A0438"/>
    <w:rsid w:val="000B5247"/>
    <w:rsid w:val="000C2CC0"/>
    <w:rsid w:val="00105BEA"/>
    <w:rsid w:val="00117D75"/>
    <w:rsid w:val="0012292D"/>
    <w:rsid w:val="00136294"/>
    <w:rsid w:val="0014052D"/>
    <w:rsid w:val="00151403"/>
    <w:rsid w:val="00174F0A"/>
    <w:rsid w:val="00186BCC"/>
    <w:rsid w:val="001B03F4"/>
    <w:rsid w:val="001D682E"/>
    <w:rsid w:val="001F245C"/>
    <w:rsid w:val="002435AB"/>
    <w:rsid w:val="00252F6F"/>
    <w:rsid w:val="00253F0F"/>
    <w:rsid w:val="002A7EE2"/>
    <w:rsid w:val="00304291"/>
    <w:rsid w:val="00307253"/>
    <w:rsid w:val="0030751F"/>
    <w:rsid w:val="00330821"/>
    <w:rsid w:val="00335A9E"/>
    <w:rsid w:val="0034069E"/>
    <w:rsid w:val="00352AA4"/>
    <w:rsid w:val="0035335D"/>
    <w:rsid w:val="003A115E"/>
    <w:rsid w:val="003A30DE"/>
    <w:rsid w:val="003A55B6"/>
    <w:rsid w:val="003B5FDD"/>
    <w:rsid w:val="003D0F54"/>
    <w:rsid w:val="003D2DAD"/>
    <w:rsid w:val="003E20B7"/>
    <w:rsid w:val="003E78F9"/>
    <w:rsid w:val="003F5B4E"/>
    <w:rsid w:val="004256C9"/>
    <w:rsid w:val="004325C9"/>
    <w:rsid w:val="004334FB"/>
    <w:rsid w:val="004416BD"/>
    <w:rsid w:val="004519FE"/>
    <w:rsid w:val="00455172"/>
    <w:rsid w:val="00470C61"/>
    <w:rsid w:val="00471878"/>
    <w:rsid w:val="00484832"/>
    <w:rsid w:val="00487AA0"/>
    <w:rsid w:val="004A211D"/>
    <w:rsid w:val="004B361E"/>
    <w:rsid w:val="004D29CB"/>
    <w:rsid w:val="004E1768"/>
    <w:rsid w:val="004F5A21"/>
    <w:rsid w:val="00500B49"/>
    <w:rsid w:val="00505A24"/>
    <w:rsid w:val="005114AC"/>
    <w:rsid w:val="00541C6D"/>
    <w:rsid w:val="005460F5"/>
    <w:rsid w:val="0055796D"/>
    <w:rsid w:val="0058417B"/>
    <w:rsid w:val="00587315"/>
    <w:rsid w:val="005941B2"/>
    <w:rsid w:val="005B0206"/>
    <w:rsid w:val="005B497D"/>
    <w:rsid w:val="005C61FB"/>
    <w:rsid w:val="005D087E"/>
    <w:rsid w:val="005D0AE1"/>
    <w:rsid w:val="005F1210"/>
    <w:rsid w:val="00600627"/>
    <w:rsid w:val="00602909"/>
    <w:rsid w:val="006524B5"/>
    <w:rsid w:val="00672A5D"/>
    <w:rsid w:val="006763DF"/>
    <w:rsid w:val="00682427"/>
    <w:rsid w:val="006B5CBC"/>
    <w:rsid w:val="006B68EF"/>
    <w:rsid w:val="006D4799"/>
    <w:rsid w:val="006F51F0"/>
    <w:rsid w:val="007028B0"/>
    <w:rsid w:val="00711CBC"/>
    <w:rsid w:val="0072569A"/>
    <w:rsid w:val="00730242"/>
    <w:rsid w:val="00734153"/>
    <w:rsid w:val="00734B56"/>
    <w:rsid w:val="007419AF"/>
    <w:rsid w:val="00745FB6"/>
    <w:rsid w:val="0074782E"/>
    <w:rsid w:val="007538C5"/>
    <w:rsid w:val="00764B70"/>
    <w:rsid w:val="00767A9A"/>
    <w:rsid w:val="00775CFA"/>
    <w:rsid w:val="007809CF"/>
    <w:rsid w:val="00785B91"/>
    <w:rsid w:val="00791D5D"/>
    <w:rsid w:val="007B024C"/>
    <w:rsid w:val="007C4E26"/>
    <w:rsid w:val="007E2DA6"/>
    <w:rsid w:val="007E533D"/>
    <w:rsid w:val="007E67C8"/>
    <w:rsid w:val="008056B4"/>
    <w:rsid w:val="00807721"/>
    <w:rsid w:val="008266AA"/>
    <w:rsid w:val="00834C89"/>
    <w:rsid w:val="00837801"/>
    <w:rsid w:val="00840863"/>
    <w:rsid w:val="008B2071"/>
    <w:rsid w:val="008F2EEA"/>
    <w:rsid w:val="0091443D"/>
    <w:rsid w:val="00916885"/>
    <w:rsid w:val="00921156"/>
    <w:rsid w:val="00937C9C"/>
    <w:rsid w:val="0095240B"/>
    <w:rsid w:val="009547E2"/>
    <w:rsid w:val="009637A5"/>
    <w:rsid w:val="0097361E"/>
    <w:rsid w:val="009812B7"/>
    <w:rsid w:val="009C1DC1"/>
    <w:rsid w:val="009D6025"/>
    <w:rsid w:val="009E4839"/>
    <w:rsid w:val="009E73A7"/>
    <w:rsid w:val="009F0B1D"/>
    <w:rsid w:val="00A10917"/>
    <w:rsid w:val="00A17AF3"/>
    <w:rsid w:val="00A27B4F"/>
    <w:rsid w:val="00A82279"/>
    <w:rsid w:val="00A851FD"/>
    <w:rsid w:val="00A93B0E"/>
    <w:rsid w:val="00AA7230"/>
    <w:rsid w:val="00AA7714"/>
    <w:rsid w:val="00AC693A"/>
    <w:rsid w:val="00AE17C7"/>
    <w:rsid w:val="00AE3320"/>
    <w:rsid w:val="00AE74A3"/>
    <w:rsid w:val="00AF0AA8"/>
    <w:rsid w:val="00B0796B"/>
    <w:rsid w:val="00B21D8A"/>
    <w:rsid w:val="00B273FA"/>
    <w:rsid w:val="00B53AB5"/>
    <w:rsid w:val="00B60E2A"/>
    <w:rsid w:val="00B71D91"/>
    <w:rsid w:val="00B84E51"/>
    <w:rsid w:val="00B858FB"/>
    <w:rsid w:val="00B92137"/>
    <w:rsid w:val="00BA6E22"/>
    <w:rsid w:val="00BD29A2"/>
    <w:rsid w:val="00BD3412"/>
    <w:rsid w:val="00BD45E3"/>
    <w:rsid w:val="00C22238"/>
    <w:rsid w:val="00C33AF5"/>
    <w:rsid w:val="00C7341C"/>
    <w:rsid w:val="00C90CF0"/>
    <w:rsid w:val="00C938B1"/>
    <w:rsid w:val="00CD1C04"/>
    <w:rsid w:val="00CD7373"/>
    <w:rsid w:val="00D2648A"/>
    <w:rsid w:val="00D3488A"/>
    <w:rsid w:val="00D72821"/>
    <w:rsid w:val="00D925F5"/>
    <w:rsid w:val="00D95453"/>
    <w:rsid w:val="00D9592F"/>
    <w:rsid w:val="00DA5313"/>
    <w:rsid w:val="00DD257E"/>
    <w:rsid w:val="00DE2592"/>
    <w:rsid w:val="00E06B6E"/>
    <w:rsid w:val="00E32B05"/>
    <w:rsid w:val="00E35B62"/>
    <w:rsid w:val="00E45598"/>
    <w:rsid w:val="00E46C0D"/>
    <w:rsid w:val="00E51178"/>
    <w:rsid w:val="00E553E4"/>
    <w:rsid w:val="00E64340"/>
    <w:rsid w:val="00E65DEE"/>
    <w:rsid w:val="00E76323"/>
    <w:rsid w:val="00E8414F"/>
    <w:rsid w:val="00E95384"/>
    <w:rsid w:val="00EA385B"/>
    <w:rsid w:val="00EC115D"/>
    <w:rsid w:val="00EC4CD9"/>
    <w:rsid w:val="00EC75FB"/>
    <w:rsid w:val="00ED557C"/>
    <w:rsid w:val="00F12BA2"/>
    <w:rsid w:val="00F267D6"/>
    <w:rsid w:val="00F35DFD"/>
    <w:rsid w:val="00F66E44"/>
    <w:rsid w:val="00F71822"/>
    <w:rsid w:val="00FA0BE6"/>
    <w:rsid w:val="00FB177A"/>
    <w:rsid w:val="00FC175C"/>
    <w:rsid w:val="00FD040F"/>
    <w:rsid w:val="00FE008F"/>
    <w:rsid w:val="00FF2A1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4A6762"/>
  <w15:chartTrackingRefBased/>
  <w15:docId w15:val="{2E2AB6D3-9899-464F-A708-AC33E171F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4325C9"/>
    <w:rPr>
      <w:rFonts w:ascii="Segoe UI Light" w:hAnsi="Segoe UI Light"/>
    </w:rPr>
  </w:style>
  <w:style w:type="paragraph" w:styleId="berschrift1">
    <w:name w:val="heading 1"/>
    <w:basedOn w:val="Standard"/>
    <w:next w:val="Standard"/>
    <w:link w:val="berschrift1Zchn"/>
    <w:uiPriority w:val="9"/>
    <w:rsid w:val="007E533D"/>
    <w:pPr>
      <w:keepNext/>
      <w:keepLines/>
      <w:spacing w:before="240" w:after="0"/>
      <w:outlineLvl w:val="0"/>
    </w:pPr>
    <w:rPr>
      <w:rFonts w:asciiTheme="majorHAnsi" w:eastAsiaTheme="majorEastAsia" w:hAnsiTheme="majorHAnsi" w:cstheme="majorBidi"/>
      <w:color w:val="001329" w:themeColor="accent1" w:themeShade="BF"/>
      <w:sz w:val="32"/>
      <w:szCs w:val="32"/>
    </w:rPr>
  </w:style>
  <w:style w:type="paragraph" w:styleId="berschrift2">
    <w:name w:val="heading 2"/>
    <w:basedOn w:val="Standard"/>
    <w:next w:val="Standard"/>
    <w:link w:val="berschrift2Zchn"/>
    <w:uiPriority w:val="9"/>
    <w:semiHidden/>
    <w:unhideWhenUsed/>
    <w:rsid w:val="00734153"/>
    <w:pPr>
      <w:keepNext/>
      <w:keepLines/>
      <w:spacing w:before="40" w:after="0"/>
      <w:outlineLvl w:val="1"/>
    </w:pPr>
    <w:rPr>
      <w:rFonts w:asciiTheme="majorHAnsi" w:eastAsiaTheme="majorEastAsia" w:hAnsiTheme="majorHAnsi" w:cstheme="majorBidi"/>
      <w:color w:val="001329" w:themeColor="accent1" w:themeShade="BF"/>
      <w:sz w:val="26"/>
      <w:szCs w:val="26"/>
    </w:rPr>
  </w:style>
  <w:style w:type="paragraph" w:styleId="berschrift3">
    <w:name w:val="heading 3"/>
    <w:basedOn w:val="Standard"/>
    <w:next w:val="Standard"/>
    <w:link w:val="berschrift3Zchn"/>
    <w:uiPriority w:val="9"/>
    <w:semiHidden/>
    <w:unhideWhenUsed/>
    <w:qFormat/>
    <w:rsid w:val="00734153"/>
    <w:pPr>
      <w:keepNext/>
      <w:keepLines/>
      <w:spacing w:before="40" w:after="0"/>
      <w:outlineLvl w:val="2"/>
    </w:pPr>
    <w:rPr>
      <w:rFonts w:asciiTheme="majorHAnsi" w:eastAsiaTheme="majorEastAsia" w:hAnsiTheme="majorHAnsi" w:cstheme="majorBidi"/>
      <w:color w:val="000D1B"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04Headline1">
    <w:name w:val="04 Headline 1"/>
    <w:basedOn w:val="berschrift1"/>
    <w:link w:val="04Headline1Char"/>
    <w:qFormat/>
    <w:rsid w:val="00F12BA2"/>
    <w:pPr>
      <w:numPr>
        <w:numId w:val="16"/>
      </w:numPr>
      <w:spacing w:before="360" w:after="240"/>
      <w:ind w:left="357" w:hanging="357"/>
    </w:pPr>
    <w:rPr>
      <w:rFonts w:ascii="Segoe UI Semibold" w:hAnsi="Segoe UI Semibold"/>
      <w:color w:val="001738"/>
      <w:lang w:val="fr-FR"/>
    </w:rPr>
  </w:style>
  <w:style w:type="character" w:customStyle="1" w:styleId="berschrift1Zchn">
    <w:name w:val="Überschrift 1 Zchn"/>
    <w:basedOn w:val="Absatz-Standardschriftart"/>
    <w:link w:val="berschrift1"/>
    <w:uiPriority w:val="9"/>
    <w:rsid w:val="007E533D"/>
    <w:rPr>
      <w:rFonts w:asciiTheme="majorHAnsi" w:eastAsiaTheme="majorEastAsia" w:hAnsiTheme="majorHAnsi" w:cstheme="majorBidi"/>
      <w:color w:val="001329" w:themeColor="accent1" w:themeShade="BF"/>
      <w:sz w:val="32"/>
      <w:szCs w:val="32"/>
    </w:rPr>
  </w:style>
  <w:style w:type="paragraph" w:customStyle="1" w:styleId="05aHeadline2">
    <w:name w:val="05 a Headline 2"/>
    <w:basedOn w:val="04Headline1"/>
    <w:link w:val="05aHeadline2Char"/>
    <w:qFormat/>
    <w:rsid w:val="00B858FB"/>
    <w:pPr>
      <w:numPr>
        <w:numId w:val="0"/>
      </w:numPr>
    </w:pPr>
    <w:rPr>
      <w:sz w:val="28"/>
    </w:rPr>
  </w:style>
  <w:style w:type="paragraph" w:customStyle="1" w:styleId="06Headline3">
    <w:name w:val="06 Headline 3"/>
    <w:basedOn w:val="05aHeadline2"/>
    <w:qFormat/>
    <w:rsid w:val="003A30DE"/>
    <w:rPr>
      <w:sz w:val="24"/>
    </w:rPr>
  </w:style>
  <w:style w:type="paragraph" w:customStyle="1" w:styleId="07NumbersLevel1">
    <w:name w:val="07 Numbers Level 1"/>
    <w:basedOn w:val="Aufzhlungszeichen"/>
    <w:qFormat/>
    <w:rsid w:val="00B858FB"/>
    <w:pPr>
      <w:numPr>
        <w:numId w:val="4"/>
      </w:numPr>
      <w:spacing w:after="120"/>
      <w:ind w:left="714" w:hanging="357"/>
    </w:pPr>
    <w:rPr>
      <w:color w:val="000000" w:themeColor="text1"/>
    </w:rPr>
  </w:style>
  <w:style w:type="character" w:styleId="Hyperlink">
    <w:name w:val="Hyperlink"/>
    <w:aliases w:val="11 Hyperlink"/>
    <w:basedOn w:val="Absatz-Standardschriftart"/>
    <w:uiPriority w:val="99"/>
    <w:unhideWhenUsed/>
    <w:qFormat/>
    <w:rsid w:val="00186BCC"/>
    <w:rPr>
      <w:rFonts w:ascii="Segoe UI Light" w:hAnsi="Segoe UI Light"/>
      <w:color w:val="E64415" w:themeColor="accent2"/>
      <w:u w:val="single"/>
    </w:rPr>
  </w:style>
  <w:style w:type="character" w:customStyle="1" w:styleId="berschrift2Zchn">
    <w:name w:val="Überschrift 2 Zchn"/>
    <w:basedOn w:val="Absatz-Standardschriftart"/>
    <w:link w:val="berschrift2"/>
    <w:uiPriority w:val="9"/>
    <w:semiHidden/>
    <w:rsid w:val="00734153"/>
    <w:rPr>
      <w:rFonts w:asciiTheme="majorHAnsi" w:eastAsiaTheme="majorEastAsia" w:hAnsiTheme="majorHAnsi" w:cstheme="majorBidi"/>
      <w:color w:val="001329" w:themeColor="accent1" w:themeShade="BF"/>
      <w:sz w:val="26"/>
      <w:szCs w:val="26"/>
    </w:rPr>
  </w:style>
  <w:style w:type="paragraph" w:styleId="Aufzhlungszeichen">
    <w:name w:val="List Bullet"/>
    <w:basedOn w:val="Standard"/>
    <w:uiPriority w:val="99"/>
    <w:semiHidden/>
    <w:unhideWhenUsed/>
    <w:rsid w:val="005C61FB"/>
    <w:pPr>
      <w:numPr>
        <w:numId w:val="3"/>
      </w:numPr>
      <w:contextualSpacing/>
    </w:pPr>
  </w:style>
  <w:style w:type="paragraph" w:styleId="Inhaltsverzeichnisberschrift">
    <w:name w:val="TOC Heading"/>
    <w:basedOn w:val="berschrift1"/>
    <w:next w:val="Standard"/>
    <w:uiPriority w:val="39"/>
    <w:unhideWhenUsed/>
    <w:qFormat/>
    <w:rsid w:val="00A93B0E"/>
    <w:pPr>
      <w:outlineLvl w:val="9"/>
    </w:pPr>
    <w:rPr>
      <w:rFonts w:ascii="Segoe UI Semibold" w:hAnsi="Segoe UI Semibold"/>
      <w:color w:val="001738"/>
    </w:rPr>
  </w:style>
  <w:style w:type="paragraph" w:styleId="Verzeichnis2">
    <w:name w:val="toc 2"/>
    <w:basedOn w:val="Standard"/>
    <w:next w:val="Standard"/>
    <w:autoRedefine/>
    <w:uiPriority w:val="39"/>
    <w:unhideWhenUsed/>
    <w:rsid w:val="004325C9"/>
    <w:pPr>
      <w:spacing w:before="240" w:after="0"/>
      <w:ind w:left="425"/>
    </w:pPr>
    <w:rPr>
      <w:bCs/>
      <w:color w:val="777777" w:themeColor="accent3" w:themeShade="BF"/>
      <w:szCs w:val="20"/>
    </w:rPr>
  </w:style>
  <w:style w:type="paragraph" w:styleId="Verzeichnis1">
    <w:name w:val="toc 1"/>
    <w:basedOn w:val="03BodyText"/>
    <w:next w:val="03BodyText"/>
    <w:link w:val="Verzeichnis1Zchn"/>
    <w:autoRedefine/>
    <w:uiPriority w:val="39"/>
    <w:unhideWhenUsed/>
    <w:rsid w:val="00A93B0E"/>
    <w:pPr>
      <w:tabs>
        <w:tab w:val="left" w:pos="425"/>
        <w:tab w:val="right" w:leader="dot" w:pos="9061"/>
      </w:tabs>
      <w:spacing w:before="360" w:after="0"/>
    </w:pPr>
    <w:rPr>
      <w:bCs/>
      <w:sz w:val="24"/>
      <w:szCs w:val="24"/>
    </w:rPr>
  </w:style>
  <w:style w:type="paragraph" w:styleId="Verzeichnis3">
    <w:name w:val="toc 3"/>
    <w:basedOn w:val="Standard"/>
    <w:next w:val="Standard"/>
    <w:autoRedefine/>
    <w:uiPriority w:val="39"/>
    <w:unhideWhenUsed/>
    <w:rsid w:val="004325C9"/>
    <w:pPr>
      <w:spacing w:after="0"/>
      <w:ind w:left="567"/>
    </w:pPr>
    <w:rPr>
      <w:color w:val="777777" w:themeColor="accent3" w:themeShade="BF"/>
      <w:sz w:val="20"/>
      <w:szCs w:val="20"/>
    </w:rPr>
  </w:style>
  <w:style w:type="paragraph" w:customStyle="1" w:styleId="01HeadlineFrontpage">
    <w:name w:val="01 Headline Frontpage"/>
    <w:basedOn w:val="berschrift1"/>
    <w:qFormat/>
    <w:rsid w:val="00F12BA2"/>
    <w:pPr>
      <w:ind w:left="720"/>
      <w:jc w:val="right"/>
    </w:pPr>
    <w:rPr>
      <w:rFonts w:ascii="Segoe UI Semibold" w:hAnsi="Segoe UI Semibold"/>
      <w:color w:val="001738"/>
      <w:sz w:val="72"/>
      <w:lang w:val="de-AT"/>
    </w:rPr>
  </w:style>
  <w:style w:type="paragraph" w:customStyle="1" w:styleId="02SubheadlineFrontpage">
    <w:name w:val="02 Subheadline Frontpage"/>
    <w:basedOn w:val="01HeadlineFrontpage"/>
    <w:qFormat/>
    <w:rsid w:val="00F35DFD"/>
    <w:pPr>
      <w:spacing w:before="0"/>
    </w:pPr>
    <w:rPr>
      <w:i/>
      <w:sz w:val="40"/>
    </w:rPr>
  </w:style>
  <w:style w:type="paragraph" w:customStyle="1" w:styleId="03BodyText">
    <w:name w:val="03 Body Text"/>
    <w:basedOn w:val="Standard"/>
    <w:link w:val="03BodyTextZchn"/>
    <w:qFormat/>
    <w:rsid w:val="0074782E"/>
    <w:pPr>
      <w:spacing w:after="360" w:line="312" w:lineRule="auto"/>
    </w:pPr>
    <w:rPr>
      <w:color w:val="000000" w:themeColor="text1"/>
    </w:rPr>
  </w:style>
  <w:style w:type="character" w:customStyle="1" w:styleId="berschrift3Zchn">
    <w:name w:val="Überschrift 3 Zchn"/>
    <w:basedOn w:val="Absatz-Standardschriftart"/>
    <w:link w:val="berschrift3"/>
    <w:uiPriority w:val="9"/>
    <w:semiHidden/>
    <w:rsid w:val="00734153"/>
    <w:rPr>
      <w:rFonts w:asciiTheme="majorHAnsi" w:eastAsiaTheme="majorEastAsia" w:hAnsiTheme="majorHAnsi" w:cstheme="majorBidi"/>
      <w:color w:val="000D1B" w:themeColor="accent1" w:themeShade="7F"/>
      <w:sz w:val="24"/>
      <w:szCs w:val="24"/>
    </w:rPr>
  </w:style>
  <w:style w:type="paragraph" w:styleId="Verzeichnis4">
    <w:name w:val="toc 4"/>
    <w:basedOn w:val="Standard"/>
    <w:next w:val="Standard"/>
    <w:autoRedefine/>
    <w:uiPriority w:val="39"/>
    <w:unhideWhenUsed/>
    <w:rsid w:val="004325C9"/>
    <w:pPr>
      <w:spacing w:after="0"/>
      <w:ind w:left="440"/>
    </w:pPr>
    <w:rPr>
      <w:sz w:val="20"/>
      <w:szCs w:val="20"/>
    </w:rPr>
  </w:style>
  <w:style w:type="paragraph" w:styleId="Verzeichnis5">
    <w:name w:val="toc 5"/>
    <w:basedOn w:val="Standard"/>
    <w:next w:val="Standard"/>
    <w:autoRedefine/>
    <w:uiPriority w:val="39"/>
    <w:unhideWhenUsed/>
    <w:rsid w:val="004325C9"/>
    <w:pPr>
      <w:spacing w:after="0"/>
      <w:ind w:left="660"/>
    </w:pPr>
    <w:rPr>
      <w:sz w:val="20"/>
      <w:szCs w:val="20"/>
    </w:rPr>
  </w:style>
  <w:style w:type="paragraph" w:styleId="Verzeichnis6">
    <w:name w:val="toc 6"/>
    <w:basedOn w:val="Standard"/>
    <w:next w:val="Standard"/>
    <w:autoRedefine/>
    <w:uiPriority w:val="39"/>
    <w:unhideWhenUsed/>
    <w:rsid w:val="00734153"/>
    <w:pPr>
      <w:spacing w:after="0"/>
      <w:ind w:left="880"/>
    </w:pPr>
    <w:rPr>
      <w:sz w:val="20"/>
      <w:szCs w:val="20"/>
    </w:rPr>
  </w:style>
  <w:style w:type="paragraph" w:styleId="Verzeichnis7">
    <w:name w:val="toc 7"/>
    <w:basedOn w:val="Standard"/>
    <w:next w:val="Standard"/>
    <w:autoRedefine/>
    <w:uiPriority w:val="39"/>
    <w:unhideWhenUsed/>
    <w:rsid w:val="00734153"/>
    <w:pPr>
      <w:spacing w:after="0"/>
      <w:ind w:left="1100"/>
    </w:pPr>
    <w:rPr>
      <w:sz w:val="20"/>
      <w:szCs w:val="20"/>
    </w:rPr>
  </w:style>
  <w:style w:type="paragraph" w:styleId="Verzeichnis8">
    <w:name w:val="toc 8"/>
    <w:basedOn w:val="Standard"/>
    <w:next w:val="Standard"/>
    <w:autoRedefine/>
    <w:uiPriority w:val="39"/>
    <w:unhideWhenUsed/>
    <w:rsid w:val="00734153"/>
    <w:pPr>
      <w:spacing w:after="0"/>
      <w:ind w:left="1320"/>
    </w:pPr>
    <w:rPr>
      <w:sz w:val="20"/>
      <w:szCs w:val="20"/>
    </w:rPr>
  </w:style>
  <w:style w:type="paragraph" w:styleId="Verzeichnis9">
    <w:name w:val="toc 9"/>
    <w:basedOn w:val="Standard"/>
    <w:next w:val="Standard"/>
    <w:autoRedefine/>
    <w:uiPriority w:val="39"/>
    <w:unhideWhenUsed/>
    <w:rsid w:val="00734153"/>
    <w:pPr>
      <w:spacing w:after="0"/>
      <w:ind w:left="1540"/>
    </w:pPr>
    <w:rPr>
      <w:sz w:val="20"/>
      <w:szCs w:val="20"/>
    </w:rPr>
  </w:style>
  <w:style w:type="paragraph" w:customStyle="1" w:styleId="07NumbersLevel2">
    <w:name w:val="07 Numbers Level 2"/>
    <w:basedOn w:val="07NumbersLevel1"/>
    <w:qFormat/>
    <w:rsid w:val="00352AA4"/>
    <w:pPr>
      <w:numPr>
        <w:ilvl w:val="1"/>
      </w:numPr>
    </w:pPr>
  </w:style>
  <w:style w:type="paragraph" w:customStyle="1" w:styleId="08BulletsLevel1">
    <w:name w:val="08 Bullets Level 1"/>
    <w:basedOn w:val="03BodyText"/>
    <w:qFormat/>
    <w:rsid w:val="003D2DAD"/>
    <w:pPr>
      <w:numPr>
        <w:numId w:val="18"/>
      </w:numPr>
      <w:spacing w:after="120"/>
      <w:ind w:left="851"/>
    </w:pPr>
    <w:rPr>
      <w:lang w:val="fr-FR"/>
    </w:rPr>
  </w:style>
  <w:style w:type="paragraph" w:customStyle="1" w:styleId="08BulletsLevel2">
    <w:name w:val="08 Bullets Level 2"/>
    <w:basedOn w:val="08BulletsLevel1"/>
    <w:qFormat/>
    <w:rsid w:val="003D2DAD"/>
    <w:pPr>
      <w:numPr>
        <w:numId w:val="6"/>
      </w:numPr>
      <w:ind w:left="1276"/>
    </w:pPr>
  </w:style>
  <w:style w:type="paragraph" w:customStyle="1" w:styleId="08BulletsLevel3">
    <w:name w:val="08 Bullets Level 3"/>
    <w:basedOn w:val="08BulletsLevel2"/>
    <w:qFormat/>
    <w:rsid w:val="003D2DAD"/>
    <w:pPr>
      <w:numPr>
        <w:numId w:val="7"/>
      </w:numPr>
      <w:ind w:left="1701"/>
    </w:pPr>
  </w:style>
  <w:style w:type="paragraph" w:styleId="Kopfzeile">
    <w:name w:val="header"/>
    <w:basedOn w:val="Standard"/>
    <w:link w:val="KopfzeileZchn"/>
    <w:uiPriority w:val="99"/>
    <w:unhideWhenUsed/>
    <w:rsid w:val="004334FB"/>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4334FB"/>
  </w:style>
  <w:style w:type="paragraph" w:styleId="Fuzeile">
    <w:name w:val="footer"/>
    <w:basedOn w:val="Standard"/>
    <w:link w:val="FuzeileZchn"/>
    <w:uiPriority w:val="99"/>
    <w:unhideWhenUsed/>
    <w:rsid w:val="004334FB"/>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4334FB"/>
  </w:style>
  <w:style w:type="paragraph" w:styleId="Beschriftung">
    <w:name w:val="caption"/>
    <w:aliases w:val="10 Figure Text"/>
    <w:basedOn w:val="Standard"/>
    <w:next w:val="Standard"/>
    <w:uiPriority w:val="35"/>
    <w:unhideWhenUsed/>
    <w:qFormat/>
    <w:rsid w:val="00186BCC"/>
    <w:pPr>
      <w:spacing w:after="200" w:line="240" w:lineRule="auto"/>
    </w:pPr>
    <w:rPr>
      <w:i/>
      <w:iCs/>
      <w:color w:val="A0A0A0" w:themeColor="accent3"/>
      <w:sz w:val="18"/>
      <w:szCs w:val="18"/>
    </w:rPr>
  </w:style>
  <w:style w:type="paragraph" w:customStyle="1" w:styleId="09Copyright">
    <w:name w:val="09 Copyright"/>
    <w:basedOn w:val="03BodyText"/>
    <w:qFormat/>
    <w:rsid w:val="007419AF"/>
    <w:pPr>
      <w:spacing w:after="240" w:line="240" w:lineRule="auto"/>
    </w:pPr>
    <w:rPr>
      <w:color w:val="808080" w:themeColor="background1" w:themeShade="80"/>
      <w:sz w:val="16"/>
    </w:rPr>
  </w:style>
  <w:style w:type="paragraph" w:customStyle="1" w:styleId="Formatvorlage1">
    <w:name w:val="Formatvorlage1"/>
    <w:basedOn w:val="03BodyText"/>
    <w:link w:val="Formatvorlage1Zchn"/>
    <w:rsid w:val="00AF0AA8"/>
    <w:pPr>
      <w:spacing w:after="0"/>
    </w:pPr>
    <w:rPr>
      <w:color w:val="505050" w:themeColor="accent3" w:themeShade="80"/>
    </w:rPr>
  </w:style>
  <w:style w:type="character" w:customStyle="1" w:styleId="03BodyTextZchn">
    <w:name w:val="03 Body Text Zchn"/>
    <w:basedOn w:val="Absatz-Standardschriftart"/>
    <w:link w:val="03BodyText"/>
    <w:rsid w:val="0074782E"/>
    <w:rPr>
      <w:rFonts w:ascii="Segoe UI Light" w:hAnsi="Segoe UI Light"/>
      <w:color w:val="000000" w:themeColor="text1"/>
    </w:rPr>
  </w:style>
  <w:style w:type="character" w:customStyle="1" w:styleId="Formatvorlage1Zchn">
    <w:name w:val="Formatvorlage1 Zchn"/>
    <w:basedOn w:val="03BodyTextZchn"/>
    <w:link w:val="Formatvorlage1"/>
    <w:rsid w:val="00AF0AA8"/>
    <w:rPr>
      <w:rFonts w:ascii="Arial" w:hAnsi="Arial"/>
      <w:color w:val="505050" w:themeColor="accent3" w:themeShade="80"/>
    </w:rPr>
  </w:style>
  <w:style w:type="table" w:styleId="Tabellenraster">
    <w:name w:val="Table Grid"/>
    <w:basedOn w:val="NormaleTabelle"/>
    <w:uiPriority w:val="39"/>
    <w:rsid w:val="003E78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Table">
    <w:name w:val="12 Table"/>
    <w:basedOn w:val="03BodyText"/>
    <w:link w:val="12TableChar"/>
    <w:autoRedefine/>
    <w:qFormat/>
    <w:rsid w:val="00775CFA"/>
    <w:pPr>
      <w:spacing w:before="60" w:after="60"/>
    </w:pPr>
    <w:rPr>
      <w:noProof/>
      <w:sz w:val="18"/>
      <w:szCs w:val="18"/>
    </w:rPr>
  </w:style>
  <w:style w:type="character" w:customStyle="1" w:styleId="12TableChar">
    <w:name w:val="12 Table Char"/>
    <w:basedOn w:val="03BodyTextZchn"/>
    <w:link w:val="12Table"/>
    <w:rsid w:val="00775CFA"/>
    <w:rPr>
      <w:rFonts w:ascii="Segoe UI Light" w:hAnsi="Segoe UI Light"/>
      <w:noProof/>
      <w:color w:val="000000" w:themeColor="text1"/>
      <w:sz w:val="18"/>
      <w:szCs w:val="18"/>
    </w:rPr>
  </w:style>
  <w:style w:type="paragraph" w:styleId="Funotentext">
    <w:name w:val="footnote text"/>
    <w:basedOn w:val="Standard"/>
    <w:link w:val="FunotentextZchn"/>
    <w:uiPriority w:val="99"/>
    <w:semiHidden/>
    <w:unhideWhenUsed/>
    <w:rsid w:val="003E78F9"/>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E78F9"/>
    <w:rPr>
      <w:sz w:val="20"/>
      <w:szCs w:val="20"/>
    </w:rPr>
  </w:style>
  <w:style w:type="character" w:styleId="Funotenzeichen">
    <w:name w:val="footnote reference"/>
    <w:basedOn w:val="Absatz-Standardschriftart"/>
    <w:uiPriority w:val="99"/>
    <w:semiHidden/>
    <w:unhideWhenUsed/>
    <w:rsid w:val="003E78F9"/>
    <w:rPr>
      <w:vertAlign w:val="superscript"/>
    </w:rPr>
  </w:style>
  <w:style w:type="paragraph" w:customStyle="1" w:styleId="13Footnote">
    <w:name w:val="13 Footnote"/>
    <w:basedOn w:val="Funotentext"/>
    <w:link w:val="13FootnoteChar"/>
    <w:qFormat/>
    <w:rsid w:val="003A55B6"/>
    <w:rPr>
      <w:rFonts w:cs="Arial"/>
      <w:color w:val="777777" w:themeColor="accent3" w:themeShade="BF"/>
      <w:sz w:val="16"/>
      <w:szCs w:val="16"/>
    </w:rPr>
  </w:style>
  <w:style w:type="character" w:customStyle="1" w:styleId="13FootnoteChar">
    <w:name w:val="13 Footnote Char"/>
    <w:basedOn w:val="FunotentextZchn"/>
    <w:link w:val="13Footnote"/>
    <w:rsid w:val="003A55B6"/>
    <w:rPr>
      <w:rFonts w:ascii="Segoe UI Light" w:hAnsi="Segoe UI Light" w:cs="Arial"/>
      <w:color w:val="777777" w:themeColor="accent3" w:themeShade="BF"/>
      <w:sz w:val="16"/>
      <w:szCs w:val="16"/>
    </w:rPr>
  </w:style>
  <w:style w:type="numbering" w:customStyle="1" w:styleId="05bHeadlinenumbered">
    <w:name w:val="05 b Headline numbered"/>
    <w:uiPriority w:val="99"/>
    <w:rsid w:val="00AA7714"/>
    <w:pPr>
      <w:numPr>
        <w:numId w:val="9"/>
      </w:numPr>
    </w:pPr>
  </w:style>
  <w:style w:type="paragraph" w:customStyle="1" w:styleId="05bHeadlinenumbered-">
    <w:name w:val="05 b Headline numbered-"/>
    <w:basedOn w:val="05aHeadline2"/>
    <w:next w:val="03BodyText"/>
    <w:link w:val="05bHeadlinenumbered-Char"/>
    <w:rsid w:val="00FB177A"/>
    <w:pPr>
      <w:numPr>
        <w:ilvl w:val="1"/>
        <w:numId w:val="12"/>
      </w:numPr>
      <w:ind w:left="357" w:hanging="357"/>
      <w:outlineLvl w:val="1"/>
    </w:pPr>
  </w:style>
  <w:style w:type="paragraph" w:styleId="Listenabsatz">
    <w:name w:val="List Paragraph"/>
    <w:basedOn w:val="Standard"/>
    <w:uiPriority w:val="34"/>
    <w:rsid w:val="00AA7714"/>
    <w:pPr>
      <w:ind w:left="720"/>
      <w:contextualSpacing/>
    </w:pPr>
  </w:style>
  <w:style w:type="character" w:customStyle="1" w:styleId="04Headline1Char">
    <w:name w:val="04 Headline 1 Char"/>
    <w:basedOn w:val="berschrift1Zchn"/>
    <w:link w:val="04Headline1"/>
    <w:rsid w:val="00F12BA2"/>
    <w:rPr>
      <w:rFonts w:ascii="Segoe UI Semibold" w:eastAsiaTheme="majorEastAsia" w:hAnsi="Segoe UI Semibold" w:cstheme="majorBidi"/>
      <w:color w:val="001738"/>
      <w:sz w:val="32"/>
      <w:szCs w:val="32"/>
      <w:lang w:val="fr-FR"/>
    </w:rPr>
  </w:style>
  <w:style w:type="character" w:customStyle="1" w:styleId="05aHeadline2Char">
    <w:name w:val="05 a Headline 2 Char"/>
    <w:basedOn w:val="04Headline1Char"/>
    <w:link w:val="05aHeadline2"/>
    <w:rsid w:val="00B858FB"/>
    <w:rPr>
      <w:rFonts w:ascii="Segoe UI Semibold" w:eastAsiaTheme="majorEastAsia" w:hAnsi="Segoe UI Semibold" w:cstheme="majorBidi"/>
      <w:color w:val="001B38" w:themeColor="accent1"/>
      <w:sz w:val="28"/>
      <w:szCs w:val="32"/>
      <w:lang w:val="fr-FR"/>
    </w:rPr>
  </w:style>
  <w:style w:type="character" w:customStyle="1" w:styleId="05bHeadlinenumbered-Char">
    <w:name w:val="05 b Headline numbered- Char"/>
    <w:basedOn w:val="05aHeadline2Char"/>
    <w:link w:val="05bHeadlinenumbered-"/>
    <w:rsid w:val="00FB177A"/>
    <w:rPr>
      <w:rFonts w:ascii="Arial" w:eastAsiaTheme="majorEastAsia" w:hAnsi="Arial" w:cstheme="majorBidi"/>
      <w:b w:val="0"/>
      <w:color w:val="001B38" w:themeColor="accent1"/>
      <w:sz w:val="28"/>
      <w:szCs w:val="32"/>
      <w:lang w:val="fr-FR"/>
    </w:rPr>
  </w:style>
  <w:style w:type="numbering" w:customStyle="1" w:styleId="Style1">
    <w:name w:val="Style1"/>
    <w:basedOn w:val="KeineListe"/>
    <w:uiPriority w:val="99"/>
    <w:rsid w:val="004A211D"/>
    <w:pPr>
      <w:numPr>
        <w:numId w:val="12"/>
      </w:numPr>
    </w:pPr>
  </w:style>
  <w:style w:type="paragraph" w:customStyle="1" w:styleId="05bHeadline2numbered">
    <w:name w:val="05 b Headline 2 numbered"/>
    <w:basedOn w:val="05bHeadlinenumbered-"/>
    <w:link w:val="05bHeadline2numberedChar"/>
    <w:qFormat/>
    <w:rsid w:val="00F35DFD"/>
    <w:pPr>
      <w:numPr>
        <w:numId w:val="16"/>
      </w:numPr>
      <w:ind w:left="641" w:hanging="284"/>
    </w:pPr>
  </w:style>
  <w:style w:type="character" w:customStyle="1" w:styleId="05bHeadline2numberedChar">
    <w:name w:val="05 b Headline 2 numbered Char"/>
    <w:basedOn w:val="05bHeadlinenumbered-Char"/>
    <w:link w:val="05bHeadline2numbered"/>
    <w:rsid w:val="00F35DFD"/>
    <w:rPr>
      <w:rFonts w:ascii="Segoe UI Semibold" w:eastAsiaTheme="majorEastAsia" w:hAnsi="Segoe UI Semibold" w:cstheme="majorBidi"/>
      <w:b w:val="0"/>
      <w:color w:val="001B38" w:themeColor="accent1"/>
      <w:sz w:val="28"/>
      <w:szCs w:val="32"/>
      <w:lang w:val="fr-FR"/>
    </w:rPr>
  </w:style>
  <w:style w:type="paragraph" w:customStyle="1" w:styleId="06bHeadline3numbered">
    <w:name w:val="06 b Headline 3 numbered"/>
    <w:basedOn w:val="06Headline3"/>
    <w:qFormat/>
    <w:rsid w:val="00F35DFD"/>
    <w:pPr>
      <w:numPr>
        <w:ilvl w:val="2"/>
        <w:numId w:val="16"/>
      </w:numPr>
      <w:spacing w:before="240" w:after="120"/>
      <w:ind w:left="714" w:hanging="357"/>
    </w:pPr>
  </w:style>
  <w:style w:type="numbering" w:customStyle="1" w:styleId="MultilayerListstraton">
    <w:name w:val="Multilayer List straton"/>
    <w:basedOn w:val="Style1"/>
    <w:uiPriority w:val="99"/>
    <w:rsid w:val="007809CF"/>
    <w:pPr>
      <w:numPr>
        <w:numId w:val="16"/>
      </w:numPr>
    </w:pPr>
  </w:style>
  <w:style w:type="table" w:customStyle="1" w:styleId="COPA-DATATable2026">
    <w:name w:val="COPA-DATA Table 2026"/>
    <w:basedOn w:val="NormaleTabelle"/>
    <w:uiPriority w:val="99"/>
    <w:rsid w:val="00775CFA"/>
    <w:pPr>
      <w:spacing w:after="0" w:line="240" w:lineRule="auto"/>
    </w:pPr>
    <w:rPr>
      <w:rFonts w:ascii="Segoe UI Light" w:hAnsi="Segoe UI Light" w:cs="Segoe UI Light"/>
      <w:sz w:val="19"/>
    </w:rPr>
    <w:tblPr>
      <w:tblBorders>
        <w:insideH w:val="single" w:sz="4" w:space="0" w:color="D9D9D9" w:themeColor="background1" w:themeShade="D9"/>
      </w:tblBorders>
    </w:tblPr>
    <w:tblStylePr w:type="firstRow">
      <w:rPr>
        <w:rFonts w:ascii="Segoe UI Semibold" w:hAnsi="Segoe UI Semibold" w:cs="Segoe UI Semibold"/>
        <w:b w:val="0"/>
        <w:bCs w:val="0"/>
        <w:i w:val="0"/>
        <w:iCs w:val="0"/>
        <w:caps w:val="0"/>
        <w:smallCaps w:val="0"/>
        <w:strike w:val="0"/>
        <w:dstrike w:val="0"/>
        <w:vanish w:val="0"/>
        <w:color w:val="001738"/>
        <w:sz w:val="19"/>
        <w:szCs w:val="22"/>
        <w:u w:val="none"/>
        <w:vertAlign w:val="baseline"/>
        <w:em w:val="none"/>
      </w:rPr>
      <w:tblPr/>
      <w:tcPr>
        <w:tcBorders>
          <w:top w:val="nil"/>
          <w:left w:val="nil"/>
          <w:bottom w:val="single" w:sz="8" w:space="0" w:color="F15A22"/>
          <w:right w:val="nil"/>
          <w:insideH w:val="nil"/>
          <w:insideV w:val="nil"/>
        </w:tcBorders>
      </w:tcPr>
    </w:tblStylePr>
  </w:style>
  <w:style w:type="paragraph" w:customStyle="1" w:styleId="PageHeaderTitle">
    <w:name w:val="Page Header Title"/>
    <w:basedOn w:val="Kopfzeile"/>
    <w:link w:val="PageHeaderTitleChar"/>
    <w:qFormat/>
    <w:rsid w:val="003A55B6"/>
    <w:rPr>
      <w:caps/>
      <w:color w:val="777777" w:themeColor="accent3" w:themeShade="BF"/>
      <w:sz w:val="18"/>
    </w:rPr>
  </w:style>
  <w:style w:type="character" w:customStyle="1" w:styleId="PageHeaderTitleChar">
    <w:name w:val="Page Header Title Char"/>
    <w:basedOn w:val="KopfzeileZchn"/>
    <w:link w:val="PageHeaderTitle"/>
    <w:rsid w:val="003A55B6"/>
    <w:rPr>
      <w:rFonts w:ascii="Segoe UI Light" w:hAnsi="Segoe UI Light"/>
      <w:caps/>
      <w:color w:val="777777" w:themeColor="accent3" w:themeShade="BF"/>
      <w:sz w:val="18"/>
    </w:rPr>
  </w:style>
  <w:style w:type="character" w:styleId="NichtaufgelsteErwhnung">
    <w:name w:val="Unresolved Mention"/>
    <w:basedOn w:val="Absatz-Standardschriftart"/>
    <w:uiPriority w:val="99"/>
    <w:semiHidden/>
    <w:unhideWhenUsed/>
    <w:rsid w:val="00F35DFD"/>
    <w:rPr>
      <w:color w:val="605E5C"/>
      <w:shd w:val="clear" w:color="auto" w:fill="E1DFDD"/>
    </w:rPr>
  </w:style>
  <w:style w:type="paragraph" w:customStyle="1" w:styleId="TOC">
    <w:name w:val="TOC"/>
    <w:basedOn w:val="Verzeichnis1"/>
    <w:link w:val="TOCChar"/>
    <w:qFormat/>
    <w:rsid w:val="007C4E26"/>
    <w:pPr>
      <w:tabs>
        <w:tab w:val="clear" w:pos="425"/>
        <w:tab w:val="left" w:pos="709"/>
      </w:tabs>
      <w:spacing w:before="240"/>
    </w:pPr>
  </w:style>
  <w:style w:type="character" w:customStyle="1" w:styleId="Verzeichnis1Zchn">
    <w:name w:val="Verzeichnis 1 Zchn"/>
    <w:basedOn w:val="Absatz-Standardschriftart"/>
    <w:link w:val="Verzeichnis1"/>
    <w:uiPriority w:val="39"/>
    <w:rsid w:val="00A93B0E"/>
    <w:rPr>
      <w:rFonts w:ascii="Segoe UI Light" w:hAnsi="Segoe UI Light"/>
      <w:bCs/>
      <w:color w:val="000000" w:themeColor="text1"/>
      <w:sz w:val="24"/>
      <w:szCs w:val="24"/>
    </w:rPr>
  </w:style>
  <w:style w:type="character" w:customStyle="1" w:styleId="TOCChar">
    <w:name w:val="TOC Char"/>
    <w:basedOn w:val="Verzeichnis1Zchn"/>
    <w:link w:val="TOC"/>
    <w:rsid w:val="007C4E26"/>
    <w:rPr>
      <w:rFonts w:ascii="Segoe UI Light" w:hAnsi="Segoe UI Light"/>
      <w:bCs/>
      <w:color w:val="000000" w:themeColor="text1"/>
      <w:sz w:val="24"/>
      <w:szCs w:val="24"/>
    </w:rPr>
  </w:style>
  <w:style w:type="paragraph" w:customStyle="1" w:styleId="01Title">
    <w:name w:val="01 Title"/>
    <w:basedOn w:val="03BodyText"/>
    <w:link w:val="01TitleChar"/>
    <w:qFormat/>
    <w:rsid w:val="003D2DAD"/>
    <w:pPr>
      <w:spacing w:line="240" w:lineRule="auto"/>
    </w:pPr>
    <w:rPr>
      <w:rFonts w:ascii="Segoe UI Semibold" w:hAnsi="Segoe UI Semibold" w:cs="Segoe UI Semibold"/>
      <w:color w:val="001738"/>
      <w:sz w:val="48"/>
      <w:szCs w:val="48"/>
    </w:rPr>
  </w:style>
  <w:style w:type="character" w:customStyle="1" w:styleId="01TitleChar">
    <w:name w:val="01 Title Char"/>
    <w:basedOn w:val="03BodyTextZchn"/>
    <w:link w:val="01Title"/>
    <w:rsid w:val="003D2DAD"/>
    <w:rPr>
      <w:rFonts w:ascii="Segoe UI Semibold" w:hAnsi="Segoe UI Semibold" w:cs="Segoe UI Semibold"/>
      <w:color w:val="001738"/>
      <w:sz w:val="48"/>
      <w:szCs w:val="48"/>
    </w:rPr>
  </w:style>
  <w:style w:type="paragraph" w:customStyle="1" w:styleId="Intro">
    <w:name w:val="Intro"/>
    <w:basedOn w:val="03BodyText"/>
    <w:link w:val="IntroChar"/>
    <w:qFormat/>
    <w:rsid w:val="00A27B4F"/>
    <w:rPr>
      <w:i/>
      <w:iCs/>
      <w:sz w:val="28"/>
      <w:szCs w:val="28"/>
    </w:rPr>
  </w:style>
  <w:style w:type="character" w:customStyle="1" w:styleId="IntroChar">
    <w:name w:val="Intro Char"/>
    <w:basedOn w:val="03BodyTextZchn"/>
    <w:link w:val="Intro"/>
    <w:rsid w:val="00A27B4F"/>
    <w:rPr>
      <w:rFonts w:ascii="Segoe UI Light" w:hAnsi="Segoe UI Light"/>
      <w:i/>
      <w:iCs/>
      <w:color w:val="000000" w:themeColor="text1"/>
      <w:sz w:val="28"/>
      <w:szCs w:val="28"/>
    </w:rPr>
  </w:style>
  <w:style w:type="character" w:styleId="Kommentarzeichen">
    <w:name w:val="annotation reference"/>
    <w:basedOn w:val="Absatz-Standardschriftart"/>
    <w:uiPriority w:val="99"/>
    <w:semiHidden/>
    <w:unhideWhenUsed/>
    <w:rsid w:val="00745FB6"/>
    <w:rPr>
      <w:sz w:val="16"/>
      <w:szCs w:val="16"/>
    </w:rPr>
  </w:style>
  <w:style w:type="paragraph" w:styleId="Kommentartext">
    <w:name w:val="annotation text"/>
    <w:basedOn w:val="Standard"/>
    <w:link w:val="KommentartextZchn"/>
    <w:uiPriority w:val="99"/>
    <w:unhideWhenUsed/>
    <w:rsid w:val="00745FB6"/>
    <w:pPr>
      <w:spacing w:line="240" w:lineRule="auto"/>
    </w:pPr>
    <w:rPr>
      <w:rFonts w:ascii="Segoe UI" w:eastAsiaTheme="minorEastAsia" w:hAnsi="Segoe UI"/>
      <w:sz w:val="20"/>
      <w:szCs w:val="20"/>
      <w:lang w:val="de-AT" w:eastAsia="ko-KR"/>
    </w:rPr>
  </w:style>
  <w:style w:type="character" w:customStyle="1" w:styleId="KommentartextZchn">
    <w:name w:val="Kommentartext Zchn"/>
    <w:basedOn w:val="Absatz-Standardschriftart"/>
    <w:link w:val="Kommentartext"/>
    <w:uiPriority w:val="99"/>
    <w:rsid w:val="00745FB6"/>
    <w:rPr>
      <w:rFonts w:ascii="Segoe UI" w:eastAsiaTheme="minorEastAsia" w:hAnsi="Segoe UI"/>
      <w:sz w:val="20"/>
      <w:szCs w:val="20"/>
      <w:lang w:val="de-AT" w:eastAsia="ko-KR"/>
    </w:rPr>
  </w:style>
  <w:style w:type="paragraph" w:styleId="Kommentarthema">
    <w:name w:val="annotation subject"/>
    <w:basedOn w:val="Kommentartext"/>
    <w:next w:val="Kommentartext"/>
    <w:link w:val="KommentarthemaZchn"/>
    <w:uiPriority w:val="99"/>
    <w:semiHidden/>
    <w:unhideWhenUsed/>
    <w:rsid w:val="00CD7373"/>
    <w:rPr>
      <w:rFonts w:ascii="Segoe UI Light" w:eastAsiaTheme="minorHAnsi" w:hAnsi="Segoe UI Light"/>
      <w:b/>
      <w:bCs/>
      <w:lang w:val="en-US" w:eastAsia="en-US"/>
    </w:rPr>
  </w:style>
  <w:style w:type="character" w:customStyle="1" w:styleId="KommentarthemaZchn">
    <w:name w:val="Kommentarthema Zchn"/>
    <w:basedOn w:val="KommentartextZchn"/>
    <w:link w:val="Kommentarthema"/>
    <w:uiPriority w:val="99"/>
    <w:semiHidden/>
    <w:rsid w:val="00CD7373"/>
    <w:rPr>
      <w:rFonts w:ascii="Segoe UI Light" w:eastAsiaTheme="minorEastAsia" w:hAnsi="Segoe UI Light"/>
      <w:b/>
      <w:bCs/>
      <w:sz w:val="20"/>
      <w:szCs w:val="20"/>
      <w:lang w:val="de-AT" w:eastAsia="ko-KR"/>
    </w:rPr>
  </w:style>
  <w:style w:type="paragraph" w:styleId="StandardWeb">
    <w:name w:val="Normal (Web)"/>
    <w:basedOn w:val="Standard"/>
    <w:uiPriority w:val="99"/>
    <w:semiHidden/>
    <w:unhideWhenUsed/>
    <w:rsid w:val="003A115E"/>
    <w:rPr>
      <w:rFonts w:ascii="Times New Roman" w:hAnsi="Times New Roman" w:cs="Times New Roman"/>
      <w:sz w:val="24"/>
      <w:szCs w:val="24"/>
    </w:rPr>
  </w:style>
  <w:style w:type="character" w:styleId="Fett">
    <w:name w:val="Strong"/>
    <w:basedOn w:val="Absatz-Standardschriftart"/>
    <w:uiPriority w:val="22"/>
    <w:qFormat/>
    <w:rsid w:val="003A11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618679">
      <w:bodyDiv w:val="1"/>
      <w:marLeft w:val="0"/>
      <w:marRight w:val="0"/>
      <w:marTop w:val="0"/>
      <w:marBottom w:val="0"/>
      <w:divBdr>
        <w:top w:val="none" w:sz="0" w:space="0" w:color="auto"/>
        <w:left w:val="none" w:sz="0" w:space="0" w:color="auto"/>
        <w:bottom w:val="none" w:sz="0" w:space="0" w:color="auto"/>
        <w:right w:val="none" w:sz="0" w:space="0" w:color="auto"/>
      </w:divBdr>
    </w:div>
    <w:div w:id="241649085">
      <w:bodyDiv w:val="1"/>
      <w:marLeft w:val="0"/>
      <w:marRight w:val="0"/>
      <w:marTop w:val="0"/>
      <w:marBottom w:val="0"/>
      <w:divBdr>
        <w:top w:val="none" w:sz="0" w:space="0" w:color="auto"/>
        <w:left w:val="none" w:sz="0" w:space="0" w:color="auto"/>
        <w:bottom w:val="none" w:sz="0" w:space="0" w:color="auto"/>
        <w:right w:val="none" w:sz="0" w:space="0" w:color="auto"/>
      </w:divBdr>
    </w:div>
    <w:div w:id="328799044">
      <w:bodyDiv w:val="1"/>
      <w:marLeft w:val="0"/>
      <w:marRight w:val="0"/>
      <w:marTop w:val="0"/>
      <w:marBottom w:val="0"/>
      <w:divBdr>
        <w:top w:val="none" w:sz="0" w:space="0" w:color="auto"/>
        <w:left w:val="none" w:sz="0" w:space="0" w:color="auto"/>
        <w:bottom w:val="none" w:sz="0" w:space="0" w:color="auto"/>
        <w:right w:val="none" w:sz="0" w:space="0" w:color="auto"/>
      </w:divBdr>
    </w:div>
    <w:div w:id="718820806">
      <w:bodyDiv w:val="1"/>
      <w:marLeft w:val="0"/>
      <w:marRight w:val="0"/>
      <w:marTop w:val="0"/>
      <w:marBottom w:val="0"/>
      <w:divBdr>
        <w:top w:val="none" w:sz="0" w:space="0" w:color="auto"/>
        <w:left w:val="none" w:sz="0" w:space="0" w:color="auto"/>
        <w:bottom w:val="none" w:sz="0" w:space="0" w:color="auto"/>
        <w:right w:val="none" w:sz="0" w:space="0" w:color="auto"/>
      </w:divBdr>
    </w:div>
    <w:div w:id="782191357">
      <w:bodyDiv w:val="1"/>
      <w:marLeft w:val="0"/>
      <w:marRight w:val="0"/>
      <w:marTop w:val="0"/>
      <w:marBottom w:val="0"/>
      <w:divBdr>
        <w:top w:val="none" w:sz="0" w:space="0" w:color="auto"/>
        <w:left w:val="none" w:sz="0" w:space="0" w:color="auto"/>
        <w:bottom w:val="none" w:sz="0" w:space="0" w:color="auto"/>
        <w:right w:val="none" w:sz="0" w:space="0" w:color="auto"/>
      </w:divBdr>
    </w:div>
    <w:div w:id="798450163">
      <w:bodyDiv w:val="1"/>
      <w:marLeft w:val="0"/>
      <w:marRight w:val="0"/>
      <w:marTop w:val="0"/>
      <w:marBottom w:val="0"/>
      <w:divBdr>
        <w:top w:val="none" w:sz="0" w:space="0" w:color="auto"/>
        <w:left w:val="none" w:sz="0" w:space="0" w:color="auto"/>
        <w:bottom w:val="none" w:sz="0" w:space="0" w:color="auto"/>
        <w:right w:val="none" w:sz="0" w:space="0" w:color="auto"/>
      </w:divBdr>
    </w:div>
    <w:div w:id="176055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kedin.com/company/copa-data-headquarters/"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copadata.com/" TargetMode="External"/><Relationship Id="rId17" Type="http://schemas.openxmlformats.org/officeDocument/2006/relationships/hyperlink" Target="https://www.facebook.com/COPADATAHeadquarter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ess@copadata.com"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youtube.com/user/copadatavideos"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instagram.com/copadata_insigh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7.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muel.inwinkl\Downloads\COPA-DATA_28082026_deutsche%20Fassung_02092026.dotx" TargetMode="External"/></Relationships>
</file>

<file path=word/theme/theme1.xml><?xml version="1.0" encoding="utf-8"?>
<a:theme xmlns:a="http://schemas.openxmlformats.org/drawingml/2006/main" name="Office Theme">
  <a:themeElements>
    <a:clrScheme name="COPA-DATA">
      <a:dk1>
        <a:sysClr val="windowText" lastClr="000000"/>
      </a:dk1>
      <a:lt1>
        <a:sysClr val="window" lastClr="FFFFFF"/>
      </a:lt1>
      <a:dk2>
        <a:srgbClr val="44546A"/>
      </a:dk2>
      <a:lt2>
        <a:srgbClr val="E7E6E6"/>
      </a:lt2>
      <a:accent1>
        <a:srgbClr val="001B38"/>
      </a:accent1>
      <a:accent2>
        <a:srgbClr val="E64415"/>
      </a:accent2>
      <a:accent3>
        <a:srgbClr val="A0A0A0"/>
      </a:accent3>
      <a:accent4>
        <a:srgbClr val="001B38"/>
      </a:accent4>
      <a:accent5>
        <a:srgbClr val="E64415"/>
      </a:accent5>
      <a:accent6>
        <a:srgbClr val="A0A0A0"/>
      </a:accent6>
      <a:hlink>
        <a:srgbClr val="E64415"/>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B9B6F701F848B4CA2649F4DA44DF506" ma:contentTypeVersion="10" ma:contentTypeDescription="Ein neues Dokument erstellen." ma:contentTypeScope="" ma:versionID="148752c1353b5689645586e8b3e6182e">
  <xsd:schema xmlns:xsd="http://www.w3.org/2001/XMLSchema" xmlns:xs="http://www.w3.org/2001/XMLSchema" xmlns:p="http://schemas.microsoft.com/office/2006/metadata/properties" xmlns:ns2="0fe78d9e-68cc-4ef5-97ef-f9f9ee7af26c" xmlns:ns3="5c0f893f-b276-461d-8b9c-863f94bc4615" targetNamespace="http://schemas.microsoft.com/office/2006/metadata/properties" ma:root="true" ma:fieldsID="e1b8fb5474a8d106ba4cd5e5e4a47e3e" ns2:_="" ns3:_="">
    <xsd:import namespace="0fe78d9e-68cc-4ef5-97ef-f9f9ee7af26c"/>
    <xsd:import namespace="5c0f893f-b276-461d-8b9c-863f94bc46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e78d9e-68cc-4ef5-97ef-f9f9ee7af2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feea838c-38b7-4d98-84ff-d5fbdd1a270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0f893f-b276-461d-8b9c-863f94bc461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03d9a4-a851-48de-b9b1-b388207ea09e}" ma:internalName="TaxCatchAll" ma:showField="CatchAllData" ma:web="5c0f893f-b276-461d-8b9c-863f94bc46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c0f893f-b276-461d-8b9c-863f94bc4615" xsi:nil="true"/>
    <lcf76f155ced4ddcb4097134ff3c332f xmlns="0fe78d9e-68cc-4ef5-97ef-f9f9ee7af26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F00AC5-AD01-4F0A-A594-C13DBCC703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e78d9e-68cc-4ef5-97ef-f9f9ee7af26c"/>
    <ds:schemaRef ds:uri="5c0f893f-b276-461d-8b9c-863f94bc46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BE5CA8-67B1-4CA7-AB6D-9C9D4F89FBF8}">
  <ds:schemaRefs>
    <ds:schemaRef ds:uri="http://schemas.openxmlformats.org/officeDocument/2006/bibliography"/>
  </ds:schemaRefs>
</ds:datastoreItem>
</file>

<file path=customXml/itemProps3.xml><?xml version="1.0" encoding="utf-8"?>
<ds:datastoreItem xmlns:ds="http://schemas.openxmlformats.org/officeDocument/2006/customXml" ds:itemID="{207F20FD-2508-4489-A251-B4BCB174B11F}">
  <ds:schemaRefs>
    <ds:schemaRef ds:uri="http://schemas.microsoft.com/office/2006/metadata/properties"/>
    <ds:schemaRef ds:uri="http://schemas.microsoft.com/office/infopath/2007/PartnerControls"/>
    <ds:schemaRef ds:uri="5c0f893f-b276-461d-8b9c-863f94bc4615"/>
    <ds:schemaRef ds:uri="0fe78d9e-68cc-4ef5-97ef-f9f9ee7af26c"/>
  </ds:schemaRefs>
</ds:datastoreItem>
</file>

<file path=customXml/itemProps4.xml><?xml version="1.0" encoding="utf-8"?>
<ds:datastoreItem xmlns:ds="http://schemas.openxmlformats.org/officeDocument/2006/customXml" ds:itemID="{B24F32EB-7E77-4B56-8F57-0DFD445A7C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COPA-DATA_28082026_deutsche Fassung_02092026</Template>
  <TotalTime>0</TotalTime>
  <Pages>5</Pages>
  <Words>1163</Words>
  <Characters>7328</Characters>
  <Application>Microsoft Office Word</Application>
  <DocSecurity>4</DocSecurity>
  <Lines>61</Lines>
  <Paragraphs>16</Paragraphs>
  <ScaleCrop>false</ScaleCrop>
  <HeadingPairs>
    <vt:vector size="6" baseType="variant">
      <vt:variant>
        <vt:lpstr>Titel</vt:lpstr>
      </vt:variant>
      <vt:variant>
        <vt:i4>1</vt:i4>
      </vt:variant>
      <vt:variant>
        <vt:lpstr>Title</vt:lpstr>
      </vt:variant>
      <vt:variant>
        <vt:i4>1</vt:i4>
      </vt:variant>
      <vt:variant>
        <vt:lpstr>Headings</vt:lpstr>
      </vt:variant>
      <vt:variant>
        <vt:i4>7</vt:i4>
      </vt:variant>
    </vt:vector>
  </HeadingPairs>
  <TitlesOfParts>
    <vt:vector size="9" baseType="lpstr">
      <vt:lpstr/>
      <vt:lpstr/>
      <vt:lpstr>[Headline 1] Hillectusa</vt:lpstr>
      <vt:lpstr>[Headline 2 numbered] Lorem Ipsum</vt:lpstr>
      <vt:lpstr>    [Headline 2 numbered] Lorem Ipsum</vt:lpstr>
      <vt:lpstr>[Headline 3 numbered] Lorem Ipsum</vt:lpstr>
      <vt:lpstr>[Headline 1] Hillectusa</vt:lpstr>
      <vt:lpstr>    [Headline 2 numbered] Lorem Ipsum</vt:lpstr>
      <vt:lpstr>[Headline 3 numbered] Lorem Ipsum</vt:lpstr>
    </vt:vector>
  </TitlesOfParts>
  <Company>COPA-DATA</Company>
  <LinksUpToDate>false</LinksUpToDate>
  <CharactersWithSpaces>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Inwinkl</dc:creator>
  <cp:keywords/>
  <dc:description/>
  <cp:lastModifiedBy>Isabell Dornblut</cp:lastModifiedBy>
  <cp:revision>2</cp:revision>
  <dcterms:created xsi:type="dcterms:W3CDTF">2026-09-08T09:34:00Z</dcterms:created>
  <dcterms:modified xsi:type="dcterms:W3CDTF">2026-09-08T09:34:00Z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0x0101007B9B6F701F848B4CA2649F4DA44DF506</vt:lpwstr>
  </property>
  <property fmtid="{D5CDD505-2E9C-101B-9397-08002B2CF9AE}" pid="3" name="Topic">
    <vt:lpwstr>150;#Template|a1b26b7d-af9b-4ea9-bc13-d7cc6808b346</vt:lpwstr>
  </property>
  <property fmtid="{D5CDD505-2E9C-101B-9397-08002B2CF9AE}" pid="4" name="Application">
    <vt:lpwstr/>
  </property>
  <property fmtid="{D5CDD505-2E9C-101B-9397-08002B2CF9AE}" pid="5" name="_dlc_DocIdItemGuid">
    <vt:lpwstr>c6e1221a-0fd8-42e2-a505-d6270d85e5ac</vt:lpwstr>
  </property>
  <property fmtid="{D5CDD505-2E9C-101B-9397-08002B2CF9AE}" pid="6" name="_dlc_DocId">
    <vt:lpwstr>AZDQEJASED4H-3-376</vt:lpwstr>
  </property>
  <property fmtid="{D5CDD505-2E9C-101B-9397-08002B2CF9AE}" pid="7" name="_dlc_DocIdUrl">
    <vt:lpwstr>http://corporate.copa-data.internal/_layouts/15/DocIdRedir.aspx?ID=AZDQEJASED4H-3-376, AZDQEJASED4H-3-376</vt:lpwstr>
  </property>
  <property fmtid="{D5CDD505-2E9C-101B-9397-08002B2CF9AE}" pid="8" name="Order">
    <vt:r8>51300</vt:r8>
  </property>
  <property fmtid="{D5CDD505-2E9C-101B-9397-08002B2CF9AE}" pid="9" name="TemplateUrl">
    <vt:lpwstr/>
  </property>
  <property fmtid="{D5CDD505-2E9C-101B-9397-08002B2CF9AE}" pid="10" name="Archived">
    <vt:bool>false</vt:bool>
  </property>
  <property fmtid="{D5CDD505-2E9C-101B-9397-08002B2CF9AE}" pid="11" name="archive">
    <vt:bool>false</vt:bool>
  </property>
  <property fmtid="{D5CDD505-2E9C-101B-9397-08002B2CF9AE}" pid="12" name="xd_Signature">
    <vt:bool>false</vt:bool>
  </property>
  <property fmtid="{D5CDD505-2E9C-101B-9397-08002B2CF9AE}" pid="13" name="xd_ProgID">
    <vt:lpwstr/>
  </property>
  <property fmtid="{D5CDD505-2E9C-101B-9397-08002B2CF9AE}" pid="14" name="DocumentSetDescription">
    <vt:lpwstr/>
  </property>
  <property fmtid="{D5CDD505-2E9C-101B-9397-08002B2CF9AE}" pid="15" name="_dlc_DocIdPersistId">
    <vt:bool>false</vt:bool>
  </property>
  <property fmtid="{D5CDD505-2E9C-101B-9397-08002B2CF9AE}" pid="16" name="MediaServiceImageTags">
    <vt:lpwstr/>
  </property>
</Properties>
</file>